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DC4A" w14:textId="77777777" w:rsidR="008B3241" w:rsidRPr="00AC416D" w:rsidRDefault="00AC416D">
      <w:pPr>
        <w:tabs>
          <w:tab w:val="right" w:pos="9527"/>
        </w:tabs>
        <w:spacing w:after="603" w:line="259" w:lineRule="auto"/>
        <w:ind w:left="-836" w:right="-476" w:firstLine="0"/>
        <w:rPr>
          <w:lang w:val="en-US"/>
        </w:rPr>
      </w:pPr>
      <w:r>
        <w:rPr>
          <w:noProof/>
        </w:rPr>
        <w:drawing>
          <wp:inline distT="0" distB="0" distL="0" distR="0" wp14:anchorId="75B274D8" wp14:editId="5A397017">
            <wp:extent cx="3654141" cy="1291104"/>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3654141" cy="1291104"/>
                    </a:xfrm>
                    <a:prstGeom prst="rect">
                      <a:avLst/>
                    </a:prstGeom>
                  </pic:spPr>
                </pic:pic>
              </a:graphicData>
            </a:graphic>
          </wp:inline>
        </w:drawing>
      </w:r>
      <w:r w:rsidRPr="00AC416D">
        <w:rPr>
          <w:b/>
          <w:lang w:val="en-US"/>
        </w:rPr>
        <w:t xml:space="preserve"> </w:t>
      </w:r>
      <w:r w:rsidRPr="00AC416D">
        <w:rPr>
          <w:b/>
          <w:lang w:val="en-US"/>
        </w:rPr>
        <w:tab/>
      </w:r>
      <w:r>
        <w:rPr>
          <w:noProof/>
        </w:rPr>
        <w:drawing>
          <wp:inline distT="0" distB="0" distL="0" distR="0" wp14:anchorId="688E093B" wp14:editId="2C050556">
            <wp:extent cx="2450314" cy="995154"/>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a:off x="0" y="0"/>
                      <a:ext cx="2450314" cy="995154"/>
                    </a:xfrm>
                    <a:prstGeom prst="rect">
                      <a:avLst/>
                    </a:prstGeom>
                  </pic:spPr>
                </pic:pic>
              </a:graphicData>
            </a:graphic>
          </wp:inline>
        </w:drawing>
      </w:r>
    </w:p>
    <w:p w14:paraId="2D4CB0AA" w14:textId="77777777" w:rsidR="00AC416D" w:rsidRPr="00AC416D" w:rsidRDefault="00AC416D" w:rsidP="00AC416D">
      <w:pPr>
        <w:spacing w:after="272" w:line="326" w:lineRule="auto"/>
        <w:ind w:right="1649"/>
        <w:rPr>
          <w:b/>
          <w:sz w:val="40"/>
          <w:lang w:val="en-US"/>
        </w:rPr>
      </w:pPr>
      <w:r w:rsidRPr="00AC416D">
        <w:rPr>
          <w:b/>
          <w:sz w:val="40"/>
          <w:lang w:val="en-US"/>
        </w:rPr>
        <w:t>Sustainability Report 2022</w:t>
      </w:r>
    </w:p>
    <w:p w14:paraId="0449BDB5" w14:textId="02F5DDDA" w:rsidR="008B3241" w:rsidRPr="00AC416D" w:rsidRDefault="00AC416D" w:rsidP="00AC416D">
      <w:pPr>
        <w:spacing w:after="272" w:line="326" w:lineRule="auto"/>
        <w:ind w:right="1649"/>
        <w:rPr>
          <w:lang w:val="en-US"/>
        </w:rPr>
      </w:pPr>
      <w:r w:rsidRPr="00AC416D">
        <w:rPr>
          <w:b/>
          <w:sz w:val="40"/>
          <w:lang w:val="en-US"/>
        </w:rPr>
        <w:t xml:space="preserve">Nedal </w:t>
      </w:r>
      <w:proofErr w:type="spellStart"/>
      <w:r w:rsidRPr="00AC416D">
        <w:rPr>
          <w:b/>
          <w:sz w:val="40"/>
          <w:lang w:val="en-US"/>
        </w:rPr>
        <w:t>Aluminium</w:t>
      </w:r>
      <w:proofErr w:type="spellEnd"/>
      <w:r w:rsidRPr="00AC416D">
        <w:rPr>
          <w:b/>
          <w:sz w:val="40"/>
          <w:lang w:val="en-US"/>
        </w:rPr>
        <w:t xml:space="preserve"> B.V. </w:t>
      </w:r>
    </w:p>
    <w:p w14:paraId="1BFF6C6C" w14:textId="77777777" w:rsidR="008B3241" w:rsidRDefault="00AC416D">
      <w:pPr>
        <w:spacing w:after="235" w:line="259" w:lineRule="auto"/>
        <w:ind w:left="67"/>
      </w:pPr>
      <w:r>
        <w:rPr>
          <w:b/>
        </w:rPr>
        <w:t xml:space="preserve">Index: </w:t>
      </w:r>
    </w:p>
    <w:sdt>
      <w:sdtPr>
        <w:id w:val="-276721913"/>
        <w:docPartObj>
          <w:docPartGallery w:val="Table of Contents"/>
        </w:docPartObj>
      </w:sdtPr>
      <w:sdtEndPr/>
      <w:sdtContent>
        <w:p w14:paraId="30EF3065" w14:textId="77777777" w:rsidR="008B3241" w:rsidRDefault="00AC416D">
          <w:pPr>
            <w:pStyle w:val="Inhopg2"/>
            <w:tabs>
              <w:tab w:val="right" w:pos="9051"/>
            </w:tabs>
          </w:pPr>
          <w:r>
            <w:fldChar w:fldCharType="begin"/>
          </w:r>
          <w:r>
            <w:instrText xml:space="preserve"> TOC \o "1-2" \h \z \u </w:instrText>
          </w:r>
          <w:r>
            <w:fldChar w:fldCharType="separate"/>
          </w:r>
          <w:hyperlink w:anchor="_Toc11287">
            <w:r>
              <w:t>1. Environmental, Social and Governance Policy</w:t>
            </w:r>
            <w:r>
              <w:tab/>
            </w:r>
            <w:r>
              <w:fldChar w:fldCharType="begin"/>
            </w:r>
            <w:r>
              <w:instrText>PAGEREF _Toc11287 \h</w:instrText>
            </w:r>
            <w:r>
              <w:fldChar w:fldCharType="separate"/>
            </w:r>
            <w:r>
              <w:t>2</w:t>
            </w:r>
            <w:r>
              <w:fldChar w:fldCharType="end"/>
            </w:r>
          </w:hyperlink>
        </w:p>
        <w:p w14:paraId="63205F44" w14:textId="77777777" w:rsidR="008B3241" w:rsidRDefault="00AC416D">
          <w:pPr>
            <w:pStyle w:val="Inhopg2"/>
            <w:tabs>
              <w:tab w:val="right" w:pos="9051"/>
            </w:tabs>
          </w:pPr>
          <w:hyperlink w:anchor="_Toc11288">
            <w:r>
              <w:t>2. Responsible sourcing</w:t>
            </w:r>
            <w:r>
              <w:tab/>
            </w:r>
            <w:r>
              <w:fldChar w:fldCharType="begin"/>
            </w:r>
            <w:r>
              <w:instrText>PAGEREF _Toc11288 \h</w:instrText>
            </w:r>
            <w:r>
              <w:fldChar w:fldCharType="separate"/>
            </w:r>
            <w:r>
              <w:t>2</w:t>
            </w:r>
            <w:r>
              <w:fldChar w:fldCharType="end"/>
            </w:r>
          </w:hyperlink>
        </w:p>
        <w:p w14:paraId="6BF3A5F7" w14:textId="77777777" w:rsidR="008B3241" w:rsidRDefault="00AC416D">
          <w:pPr>
            <w:pStyle w:val="Inhopg2"/>
            <w:tabs>
              <w:tab w:val="right" w:pos="9051"/>
            </w:tabs>
          </w:pPr>
          <w:hyperlink w:anchor="_Toc11289">
            <w:r>
              <w:t>3. Environmental and social impact assessments</w:t>
            </w:r>
            <w:r>
              <w:tab/>
            </w:r>
            <w:r>
              <w:fldChar w:fldCharType="begin"/>
            </w:r>
            <w:r>
              <w:instrText>PAGEREF _Toc11289 \h</w:instrText>
            </w:r>
            <w:r>
              <w:fldChar w:fldCharType="separate"/>
            </w:r>
            <w:r>
              <w:t>2</w:t>
            </w:r>
            <w:r>
              <w:fldChar w:fldCharType="end"/>
            </w:r>
          </w:hyperlink>
        </w:p>
        <w:p w14:paraId="7D32F501" w14:textId="77777777" w:rsidR="008B3241" w:rsidRDefault="00AC416D">
          <w:pPr>
            <w:pStyle w:val="Inhopg2"/>
            <w:tabs>
              <w:tab w:val="right" w:pos="9051"/>
            </w:tabs>
          </w:pPr>
          <w:hyperlink w:anchor="_Toc11290">
            <w:r>
              <w:t>4. Human rights Impact Assessment</w:t>
            </w:r>
            <w:r>
              <w:tab/>
            </w:r>
            <w:r>
              <w:fldChar w:fldCharType="begin"/>
            </w:r>
            <w:r>
              <w:instrText>PAGEREF _Toc11290 \h</w:instrText>
            </w:r>
            <w:r>
              <w:fldChar w:fldCharType="separate"/>
            </w:r>
            <w:r>
              <w:t>2</w:t>
            </w:r>
            <w:r>
              <w:fldChar w:fldCharType="end"/>
            </w:r>
          </w:hyperlink>
        </w:p>
        <w:p w14:paraId="26EE265E" w14:textId="77777777" w:rsidR="008B3241" w:rsidRDefault="00AC416D">
          <w:pPr>
            <w:pStyle w:val="Inhopg2"/>
            <w:tabs>
              <w:tab w:val="right" w:pos="9051"/>
            </w:tabs>
          </w:pPr>
          <w:hyperlink w:anchor="_Toc11291">
            <w:r>
              <w:t>5. Non compliance and liability</w:t>
            </w:r>
            <w:r>
              <w:tab/>
            </w:r>
            <w:r>
              <w:fldChar w:fldCharType="begin"/>
            </w:r>
            <w:r>
              <w:instrText>PAGEREF _Toc11291 \h</w:instrText>
            </w:r>
            <w:r>
              <w:fldChar w:fldCharType="separate"/>
            </w:r>
            <w:r>
              <w:t>2</w:t>
            </w:r>
            <w:r>
              <w:fldChar w:fldCharType="end"/>
            </w:r>
          </w:hyperlink>
        </w:p>
        <w:p w14:paraId="1942B97F" w14:textId="77777777" w:rsidR="008B3241" w:rsidRDefault="00AC416D">
          <w:pPr>
            <w:pStyle w:val="Inhopg2"/>
            <w:tabs>
              <w:tab w:val="right" w:pos="9051"/>
            </w:tabs>
          </w:pPr>
          <w:hyperlink w:anchor="_Toc11292">
            <w:r>
              <w:t>6. Payments to Governments</w:t>
            </w:r>
            <w:r>
              <w:tab/>
            </w:r>
            <w:r>
              <w:fldChar w:fldCharType="begin"/>
            </w:r>
            <w:r>
              <w:instrText>PAGEREF _Toc11292 \h</w:instrText>
            </w:r>
            <w:r>
              <w:fldChar w:fldCharType="separate"/>
            </w:r>
            <w:r>
              <w:t>3</w:t>
            </w:r>
            <w:r>
              <w:fldChar w:fldCharType="end"/>
            </w:r>
          </w:hyperlink>
        </w:p>
        <w:p w14:paraId="2FD2EC58" w14:textId="77777777" w:rsidR="008B3241" w:rsidRDefault="00AC416D">
          <w:pPr>
            <w:pStyle w:val="Inhopg2"/>
            <w:tabs>
              <w:tab w:val="right" w:pos="9051"/>
            </w:tabs>
          </w:pPr>
          <w:hyperlink w:anchor="_Toc11293">
            <w:r>
              <w:t>7. Stakeholder Complaints, Grievances and Request for Information</w:t>
            </w:r>
            <w:r>
              <w:tab/>
            </w:r>
            <w:r>
              <w:fldChar w:fldCharType="begin"/>
            </w:r>
            <w:r>
              <w:instrText>PAGEREF _Toc11293 \h</w:instrText>
            </w:r>
            <w:r>
              <w:fldChar w:fldCharType="separate"/>
            </w:r>
            <w:r>
              <w:t>3</w:t>
            </w:r>
            <w:r>
              <w:fldChar w:fldCharType="end"/>
            </w:r>
          </w:hyperlink>
        </w:p>
        <w:p w14:paraId="49C1B014" w14:textId="77777777" w:rsidR="008B3241" w:rsidRDefault="00AC416D">
          <w:pPr>
            <w:pStyle w:val="Inhopg2"/>
            <w:tabs>
              <w:tab w:val="right" w:pos="9051"/>
            </w:tabs>
          </w:pPr>
          <w:hyperlink w:anchor="_Toc11294">
            <w:r>
              <w:t>8. Environmental Life Cycle Assessment</w:t>
            </w:r>
            <w:r>
              <w:tab/>
            </w:r>
            <w:r>
              <w:fldChar w:fldCharType="begin"/>
            </w:r>
            <w:r>
              <w:instrText>PAGEREF _Toc11294 \h</w:instrText>
            </w:r>
            <w:r>
              <w:fldChar w:fldCharType="separate"/>
            </w:r>
            <w:r>
              <w:t>3</w:t>
            </w:r>
            <w:r>
              <w:fldChar w:fldCharType="end"/>
            </w:r>
          </w:hyperlink>
        </w:p>
        <w:p w14:paraId="268CCD61" w14:textId="77777777" w:rsidR="008B3241" w:rsidRDefault="00AC416D">
          <w:pPr>
            <w:pStyle w:val="Inhopg2"/>
            <w:tabs>
              <w:tab w:val="right" w:pos="9051"/>
            </w:tabs>
          </w:pPr>
          <w:hyperlink w:anchor="_Toc11295">
            <w:r>
              <w:t>9. Disclosure of GHG Emissions and Energy Use</w:t>
            </w:r>
            <w:r>
              <w:tab/>
            </w:r>
            <w:r>
              <w:fldChar w:fldCharType="begin"/>
            </w:r>
            <w:r>
              <w:instrText>PAGEREF _Toc11295 \h</w:instrText>
            </w:r>
            <w:r>
              <w:fldChar w:fldCharType="separate"/>
            </w:r>
            <w:r>
              <w:t>4</w:t>
            </w:r>
            <w:r>
              <w:fldChar w:fldCharType="end"/>
            </w:r>
          </w:hyperlink>
        </w:p>
        <w:p w14:paraId="02AFBB1D" w14:textId="77777777" w:rsidR="008B3241" w:rsidRDefault="00AC416D">
          <w:pPr>
            <w:pStyle w:val="Inhopg1"/>
            <w:tabs>
              <w:tab w:val="right" w:pos="9051"/>
            </w:tabs>
          </w:pPr>
          <w:hyperlink w:anchor="_Toc11296">
            <w:r>
              <w:t>10. GHG Emissions Reduction Plans</w:t>
            </w:r>
            <w:r>
              <w:tab/>
            </w:r>
            <w:r>
              <w:fldChar w:fldCharType="begin"/>
            </w:r>
            <w:r>
              <w:instrText>PAGEREF _Toc11296 \h</w:instrText>
            </w:r>
            <w:r>
              <w:fldChar w:fldCharType="separate"/>
            </w:r>
            <w:r>
              <w:t>4</w:t>
            </w:r>
            <w:r>
              <w:fldChar w:fldCharType="end"/>
            </w:r>
          </w:hyperlink>
        </w:p>
        <w:p w14:paraId="2AA9F5D8" w14:textId="77777777" w:rsidR="008B3241" w:rsidRDefault="00AC416D">
          <w:pPr>
            <w:pStyle w:val="Inhopg1"/>
            <w:tabs>
              <w:tab w:val="right" w:pos="9051"/>
            </w:tabs>
          </w:pPr>
          <w:hyperlink w:anchor="_Toc11297">
            <w:r>
              <w:t>11. Emissions to air</w:t>
            </w:r>
            <w:r>
              <w:tab/>
            </w:r>
            <w:r>
              <w:fldChar w:fldCharType="begin"/>
            </w:r>
            <w:r>
              <w:instrText>PAGEREF _Toc11297 \h</w:instrText>
            </w:r>
            <w:r>
              <w:fldChar w:fldCharType="separate"/>
            </w:r>
            <w:r>
              <w:t>5</w:t>
            </w:r>
            <w:r>
              <w:fldChar w:fldCharType="end"/>
            </w:r>
          </w:hyperlink>
        </w:p>
        <w:p w14:paraId="55491CB0" w14:textId="77777777" w:rsidR="008B3241" w:rsidRDefault="00AC416D">
          <w:pPr>
            <w:pStyle w:val="Inhopg1"/>
            <w:tabs>
              <w:tab w:val="right" w:pos="9051"/>
            </w:tabs>
          </w:pPr>
          <w:hyperlink w:anchor="_Toc11298">
            <w:r>
              <w:t>12. Discharges to water</w:t>
            </w:r>
            <w:r>
              <w:tab/>
            </w:r>
            <w:r>
              <w:fldChar w:fldCharType="begin"/>
            </w:r>
            <w:r>
              <w:instrText>PAGEREF _Toc11298 \h</w:instrText>
            </w:r>
            <w:r>
              <w:fldChar w:fldCharType="separate"/>
            </w:r>
            <w:r>
              <w:t>5</w:t>
            </w:r>
            <w:r>
              <w:fldChar w:fldCharType="end"/>
            </w:r>
          </w:hyperlink>
        </w:p>
        <w:p w14:paraId="70DE65C6" w14:textId="77777777" w:rsidR="008B3241" w:rsidRDefault="00AC416D">
          <w:pPr>
            <w:pStyle w:val="Inhopg1"/>
            <w:tabs>
              <w:tab w:val="right" w:pos="9051"/>
            </w:tabs>
          </w:pPr>
          <w:hyperlink w:anchor="_Toc11299">
            <w:r>
              <w:t>13. Public disclosure of Spills and Leakages</w:t>
            </w:r>
            <w:r>
              <w:tab/>
            </w:r>
            <w:r>
              <w:fldChar w:fldCharType="begin"/>
            </w:r>
            <w:r>
              <w:instrText>PAGEREF _Toc11299 \h</w:instrText>
            </w:r>
            <w:r>
              <w:fldChar w:fldCharType="separate"/>
            </w:r>
            <w:r>
              <w:t>6</w:t>
            </w:r>
            <w:r>
              <w:fldChar w:fldCharType="end"/>
            </w:r>
          </w:hyperlink>
        </w:p>
        <w:p w14:paraId="1EF354F8" w14:textId="77777777" w:rsidR="008B3241" w:rsidRDefault="00AC416D">
          <w:pPr>
            <w:pStyle w:val="Inhopg1"/>
            <w:tabs>
              <w:tab w:val="right" w:pos="9051"/>
            </w:tabs>
          </w:pPr>
          <w:hyperlink w:anchor="_Toc11300">
            <w:r>
              <w:t>14. Waste Management and Reporting</w:t>
            </w:r>
            <w:r>
              <w:tab/>
            </w:r>
            <w:r>
              <w:fldChar w:fldCharType="begin"/>
            </w:r>
            <w:r>
              <w:instrText>PAGEREF _Toc11300 \h</w:instrText>
            </w:r>
            <w:r>
              <w:fldChar w:fldCharType="separate"/>
            </w:r>
            <w:r>
              <w:t>6</w:t>
            </w:r>
            <w:r>
              <w:fldChar w:fldCharType="end"/>
            </w:r>
          </w:hyperlink>
        </w:p>
        <w:p w14:paraId="780F6144" w14:textId="77777777" w:rsidR="008B3241" w:rsidRDefault="00AC416D">
          <w:pPr>
            <w:pStyle w:val="Inhopg1"/>
            <w:tabs>
              <w:tab w:val="right" w:pos="9051"/>
            </w:tabs>
          </w:pPr>
          <w:hyperlink w:anchor="_Toc11301">
            <w:r>
              <w:t>15. Water Assessment and Disclosure</w:t>
            </w:r>
            <w:r>
              <w:tab/>
            </w:r>
            <w:r>
              <w:fldChar w:fldCharType="begin"/>
            </w:r>
            <w:r>
              <w:instrText>PAGEREF _Toc11301 \h</w:instrText>
            </w:r>
            <w:r>
              <w:fldChar w:fldCharType="separate"/>
            </w:r>
            <w:r>
              <w:t>7</w:t>
            </w:r>
            <w:r>
              <w:fldChar w:fldCharType="end"/>
            </w:r>
          </w:hyperlink>
        </w:p>
        <w:p w14:paraId="0113703B" w14:textId="77777777" w:rsidR="008B3241" w:rsidRDefault="00AC416D">
          <w:pPr>
            <w:pStyle w:val="Inhopg1"/>
            <w:tabs>
              <w:tab w:val="right" w:pos="9051"/>
            </w:tabs>
          </w:pPr>
          <w:hyperlink w:anchor="_Toc11302">
            <w:r>
              <w:t>16. Biodiversity Management</w:t>
            </w:r>
            <w:r>
              <w:tab/>
            </w:r>
            <w:r>
              <w:fldChar w:fldCharType="begin"/>
            </w:r>
            <w:r>
              <w:instrText>PAGEREF _Toc11302 \h</w:instrText>
            </w:r>
            <w:r>
              <w:fldChar w:fldCharType="separate"/>
            </w:r>
            <w:r>
              <w:t>7</w:t>
            </w:r>
            <w:r>
              <w:fldChar w:fldCharType="end"/>
            </w:r>
          </w:hyperlink>
        </w:p>
        <w:p w14:paraId="61C54B18" w14:textId="77777777" w:rsidR="008B3241" w:rsidRDefault="00AC416D">
          <w:pPr>
            <w:pStyle w:val="Inhopg1"/>
            <w:tabs>
              <w:tab w:val="right" w:pos="9051"/>
            </w:tabs>
          </w:pPr>
          <w:hyperlink w:anchor="_Toc11303">
            <w:r>
              <w:t>17. Human Rights Due Diligence</w:t>
            </w:r>
            <w:r>
              <w:tab/>
            </w:r>
            <w:r>
              <w:fldChar w:fldCharType="begin"/>
            </w:r>
            <w:r>
              <w:instrText>PAGEREF _Toc11303 \h</w:instrText>
            </w:r>
            <w:r>
              <w:fldChar w:fldCharType="separate"/>
            </w:r>
            <w:r>
              <w:t>8</w:t>
            </w:r>
            <w:r>
              <w:fldChar w:fldCharType="end"/>
            </w:r>
          </w:hyperlink>
        </w:p>
        <w:p w14:paraId="68DEB262" w14:textId="77777777" w:rsidR="008B3241" w:rsidRDefault="00AC416D">
          <w:pPr>
            <w:pStyle w:val="Inhopg1"/>
            <w:tabs>
              <w:tab w:val="right" w:pos="9051"/>
            </w:tabs>
          </w:pPr>
          <w:hyperlink w:anchor="_Toc11304">
            <w:r>
              <w:t>18. Indigenous Peoples</w:t>
            </w:r>
            <w:r>
              <w:tab/>
            </w:r>
            <w:r>
              <w:fldChar w:fldCharType="begin"/>
            </w:r>
            <w:r>
              <w:instrText>PAGEREF _Toc11304 \h</w:instrText>
            </w:r>
            <w:r>
              <w:fldChar w:fldCharType="separate"/>
            </w:r>
            <w:r>
              <w:t>9</w:t>
            </w:r>
            <w:r>
              <w:fldChar w:fldCharType="end"/>
            </w:r>
          </w:hyperlink>
        </w:p>
        <w:p w14:paraId="426E36AA" w14:textId="77777777" w:rsidR="008B3241" w:rsidRDefault="00AC416D">
          <w:pPr>
            <w:pStyle w:val="Inhopg1"/>
            <w:tabs>
              <w:tab w:val="right" w:pos="9051"/>
            </w:tabs>
          </w:pPr>
          <w:hyperlink w:anchor="_Toc11305">
            <w:r>
              <w:t>19. Affected Populations and Organisations</w:t>
            </w:r>
            <w:r>
              <w:tab/>
            </w:r>
            <w:r>
              <w:fldChar w:fldCharType="begin"/>
            </w:r>
            <w:r>
              <w:instrText>PAGEREF _Toc11305 \h</w:instrText>
            </w:r>
            <w:r>
              <w:fldChar w:fldCharType="separate"/>
            </w:r>
            <w:r>
              <w:t>9</w:t>
            </w:r>
            <w:r>
              <w:fldChar w:fldCharType="end"/>
            </w:r>
          </w:hyperlink>
        </w:p>
        <w:p w14:paraId="1933E22A" w14:textId="77777777" w:rsidR="008B3241" w:rsidRDefault="00AC416D">
          <w:pPr>
            <w:pStyle w:val="Inhopg1"/>
            <w:tabs>
              <w:tab w:val="right" w:pos="9051"/>
            </w:tabs>
          </w:pPr>
          <w:hyperlink w:anchor="_Toc11306">
            <w:r>
              <w:t>20. Occupational Health and Safety Management System</w:t>
            </w:r>
            <w:r>
              <w:tab/>
            </w:r>
            <w:r>
              <w:fldChar w:fldCharType="begin"/>
            </w:r>
            <w:r>
              <w:instrText>PAGEREF _Toc11306 \h</w:instrText>
            </w:r>
            <w:r>
              <w:fldChar w:fldCharType="separate"/>
            </w:r>
            <w:r>
              <w:t>10</w:t>
            </w:r>
            <w:r>
              <w:fldChar w:fldCharType="end"/>
            </w:r>
          </w:hyperlink>
        </w:p>
        <w:p w14:paraId="767826E4" w14:textId="77777777" w:rsidR="008B3241" w:rsidRDefault="00AC416D">
          <w:pPr>
            <w:pStyle w:val="Inhopg1"/>
            <w:tabs>
              <w:tab w:val="right" w:pos="9051"/>
            </w:tabs>
          </w:pPr>
          <w:hyperlink w:anchor="_Toc11307">
            <w:r>
              <w:t>21. Forced Labour (Modern Slavery)</w:t>
            </w:r>
            <w:r>
              <w:tab/>
            </w:r>
            <w:r>
              <w:fldChar w:fldCharType="begin"/>
            </w:r>
            <w:r>
              <w:instrText>PAGEREF _Toc11307 \h</w:instrText>
            </w:r>
            <w:r>
              <w:fldChar w:fldCharType="separate"/>
            </w:r>
            <w:r>
              <w:t>11</w:t>
            </w:r>
            <w:r>
              <w:fldChar w:fldCharType="end"/>
            </w:r>
          </w:hyperlink>
        </w:p>
        <w:p w14:paraId="7A78FD86" w14:textId="77777777" w:rsidR="008B3241" w:rsidRDefault="00AC416D">
          <w:r>
            <w:lastRenderedPageBreak/>
            <w:fldChar w:fldCharType="end"/>
          </w:r>
        </w:p>
      </w:sdtContent>
    </w:sdt>
    <w:p w14:paraId="0EA2F1E6" w14:textId="77777777" w:rsidR="008B3241" w:rsidRPr="00AC416D" w:rsidRDefault="00AC416D">
      <w:pPr>
        <w:pStyle w:val="Kop2"/>
        <w:spacing w:after="0" w:line="437" w:lineRule="auto"/>
        <w:ind w:left="-1" w:right="1952"/>
        <w:rPr>
          <w:lang w:val="en-US"/>
        </w:rPr>
      </w:pPr>
      <w:bookmarkStart w:id="0" w:name="_Toc11287"/>
      <w:r w:rsidRPr="00AC416D">
        <w:rPr>
          <w:u w:val="none"/>
          <w:lang w:val="en-US"/>
        </w:rPr>
        <w:t xml:space="preserve">1. </w:t>
      </w:r>
      <w:r w:rsidRPr="00AC416D">
        <w:rPr>
          <w:lang w:val="en-US"/>
        </w:rPr>
        <w:t>Environmental, Social and Governance Policy</w:t>
      </w:r>
      <w:r w:rsidRPr="00AC416D">
        <w:rPr>
          <w:u w:val="none"/>
          <w:lang w:val="en-US"/>
        </w:rPr>
        <w:t xml:space="preserve">                     </w:t>
      </w:r>
      <w:bookmarkEnd w:id="0"/>
    </w:p>
    <w:p w14:paraId="1C26AD8B" w14:textId="77777777" w:rsidR="008B3241" w:rsidRPr="00AC416D" w:rsidRDefault="00AC416D">
      <w:pPr>
        <w:spacing w:after="0" w:line="437" w:lineRule="auto"/>
        <w:ind w:left="-1" w:right="1952" w:firstLine="4"/>
        <w:rPr>
          <w:lang w:val="en-US"/>
        </w:rPr>
      </w:pPr>
      <w:r w:rsidRPr="00AC416D">
        <w:rPr>
          <w:lang w:val="en-US"/>
        </w:rPr>
        <w:t xml:space="preserve">See Code of Conduct:  </w:t>
      </w:r>
    </w:p>
    <w:p w14:paraId="2D8F0A77" w14:textId="77777777" w:rsidR="008B3241" w:rsidRPr="00AC416D" w:rsidRDefault="00AC416D">
      <w:pPr>
        <w:spacing w:after="229" w:line="259" w:lineRule="auto"/>
        <w:ind w:left="14" w:firstLine="0"/>
        <w:rPr>
          <w:lang w:val="en-US"/>
        </w:rPr>
      </w:pPr>
      <w:r w:rsidRPr="00AC416D">
        <w:rPr>
          <w:lang w:val="en-US"/>
        </w:rPr>
        <w:t xml:space="preserve">  </w:t>
      </w:r>
    </w:p>
    <w:p w14:paraId="6391375E" w14:textId="77777777" w:rsidR="008B3241" w:rsidRPr="00AC416D" w:rsidRDefault="00AC416D">
      <w:pPr>
        <w:pStyle w:val="Kop2"/>
        <w:spacing w:after="0" w:line="447" w:lineRule="auto"/>
        <w:ind w:left="24" w:right="5842" w:hanging="10"/>
        <w:rPr>
          <w:lang w:val="en-US"/>
        </w:rPr>
      </w:pPr>
      <w:bookmarkStart w:id="1" w:name="_Toc11288"/>
      <w:r w:rsidRPr="00AC416D">
        <w:rPr>
          <w:u w:val="none"/>
          <w:lang w:val="en-US"/>
        </w:rPr>
        <w:t xml:space="preserve">2. </w:t>
      </w:r>
      <w:r w:rsidRPr="00AC416D">
        <w:rPr>
          <w:lang w:val="en-US"/>
        </w:rPr>
        <w:t>Responsible sourcing</w:t>
      </w:r>
      <w:r w:rsidRPr="00AC416D">
        <w:rPr>
          <w:u w:val="none"/>
          <w:lang w:val="en-US"/>
        </w:rPr>
        <w:t xml:space="preserve">  </w:t>
      </w:r>
      <w:bookmarkEnd w:id="1"/>
    </w:p>
    <w:p w14:paraId="5505FD92" w14:textId="77777777" w:rsidR="008B3241" w:rsidRPr="00AC416D" w:rsidRDefault="00AC416D">
      <w:pPr>
        <w:spacing w:after="0" w:line="447" w:lineRule="auto"/>
        <w:ind w:left="24" w:right="5842"/>
        <w:rPr>
          <w:lang w:val="en-US"/>
        </w:rPr>
      </w:pPr>
      <w:r w:rsidRPr="00AC416D">
        <w:rPr>
          <w:lang w:val="en-US"/>
        </w:rPr>
        <w:t xml:space="preserve">See Code of Conduct:  </w:t>
      </w:r>
    </w:p>
    <w:p w14:paraId="0DF06B68" w14:textId="77777777" w:rsidR="008B3241" w:rsidRPr="00AC416D" w:rsidRDefault="00AC416D">
      <w:pPr>
        <w:pStyle w:val="Kop2"/>
        <w:ind w:left="-1" w:right="1952"/>
        <w:rPr>
          <w:lang w:val="en-US"/>
        </w:rPr>
      </w:pPr>
      <w:bookmarkStart w:id="2" w:name="_Toc11289"/>
      <w:r w:rsidRPr="00AC416D">
        <w:rPr>
          <w:u w:val="none"/>
          <w:lang w:val="en-US"/>
        </w:rPr>
        <w:t xml:space="preserve">3. </w:t>
      </w:r>
      <w:r w:rsidRPr="00AC416D">
        <w:rPr>
          <w:lang w:val="en-US"/>
        </w:rPr>
        <w:t>Environmental and social impact assessments</w:t>
      </w:r>
      <w:r w:rsidRPr="00AC416D">
        <w:rPr>
          <w:u w:val="none"/>
          <w:lang w:val="en-US"/>
        </w:rPr>
        <w:t xml:space="preserve">  </w:t>
      </w:r>
      <w:bookmarkEnd w:id="2"/>
    </w:p>
    <w:p w14:paraId="5B552CD4" w14:textId="77777777" w:rsidR="008B3241" w:rsidRPr="00AC416D" w:rsidRDefault="00AC416D">
      <w:pPr>
        <w:ind w:left="24"/>
        <w:rPr>
          <w:lang w:val="en-US"/>
        </w:rPr>
      </w:pPr>
      <w:r w:rsidRPr="00AC416D">
        <w:rPr>
          <w:lang w:val="en-US"/>
        </w:rPr>
        <w:t xml:space="preserve">In case of new projects or major changes an environmental and social impact assessment will be conducted:  </w:t>
      </w:r>
    </w:p>
    <w:p w14:paraId="6DA595C2" w14:textId="77777777" w:rsidR="008B3241" w:rsidRDefault="00AC416D">
      <w:pPr>
        <w:numPr>
          <w:ilvl w:val="0"/>
          <w:numId w:val="1"/>
        </w:numPr>
        <w:ind w:hanging="360"/>
      </w:pPr>
      <w:r>
        <w:t xml:space="preserve">Health </w:t>
      </w:r>
      <w:proofErr w:type="spellStart"/>
      <w:r>
        <w:t>and</w:t>
      </w:r>
      <w:proofErr w:type="spellEnd"/>
      <w:r>
        <w:t xml:space="preserve"> </w:t>
      </w:r>
      <w:proofErr w:type="spellStart"/>
      <w:r>
        <w:t>safety</w:t>
      </w:r>
      <w:proofErr w:type="spellEnd"/>
      <w:r>
        <w:t xml:space="preserve">  </w:t>
      </w:r>
    </w:p>
    <w:p w14:paraId="046F1E07" w14:textId="77777777" w:rsidR="008B3241" w:rsidRDefault="00AC416D">
      <w:pPr>
        <w:numPr>
          <w:ilvl w:val="0"/>
          <w:numId w:val="1"/>
        </w:numPr>
        <w:ind w:hanging="360"/>
      </w:pPr>
      <w:r>
        <w:t xml:space="preserve">Human </w:t>
      </w:r>
      <w:proofErr w:type="spellStart"/>
      <w:r>
        <w:t>rights</w:t>
      </w:r>
      <w:proofErr w:type="spellEnd"/>
      <w:r>
        <w:t xml:space="preserve">  </w:t>
      </w:r>
    </w:p>
    <w:p w14:paraId="35DFB169" w14:textId="77777777" w:rsidR="008B3241" w:rsidRPr="00AC416D" w:rsidRDefault="00AC416D">
      <w:pPr>
        <w:numPr>
          <w:ilvl w:val="0"/>
          <w:numId w:val="1"/>
        </w:numPr>
        <w:ind w:hanging="360"/>
        <w:rPr>
          <w:lang w:val="en-US"/>
        </w:rPr>
      </w:pPr>
      <w:r w:rsidRPr="00AC416D">
        <w:rPr>
          <w:lang w:val="en-US"/>
        </w:rPr>
        <w:t xml:space="preserve">Environmental: Influence on stakeholders and nature  </w:t>
      </w:r>
    </w:p>
    <w:p w14:paraId="61A5CBD4" w14:textId="77777777" w:rsidR="008B3241" w:rsidRDefault="00AC416D">
      <w:pPr>
        <w:numPr>
          <w:ilvl w:val="0"/>
          <w:numId w:val="1"/>
        </w:numPr>
        <w:ind w:hanging="360"/>
      </w:pPr>
      <w:proofErr w:type="spellStart"/>
      <w:r>
        <w:t>Current</w:t>
      </w:r>
      <w:proofErr w:type="spellEnd"/>
      <w:r>
        <w:t xml:space="preserve"> </w:t>
      </w:r>
      <w:proofErr w:type="spellStart"/>
      <w:r>
        <w:t>legislation</w:t>
      </w:r>
      <w:proofErr w:type="spellEnd"/>
      <w:r>
        <w:t xml:space="preserve"> </w:t>
      </w:r>
      <w:proofErr w:type="spellStart"/>
      <w:r>
        <w:t>and</w:t>
      </w:r>
      <w:proofErr w:type="spellEnd"/>
      <w:r>
        <w:t xml:space="preserve"> </w:t>
      </w:r>
      <w:proofErr w:type="spellStart"/>
      <w:r>
        <w:t>zoning</w:t>
      </w:r>
      <w:proofErr w:type="spellEnd"/>
      <w:r>
        <w:t xml:space="preserve"> plan  </w:t>
      </w:r>
    </w:p>
    <w:p w14:paraId="3089772F" w14:textId="77777777" w:rsidR="008B3241" w:rsidRDefault="00AC416D">
      <w:pPr>
        <w:spacing w:after="229" w:line="259" w:lineRule="auto"/>
        <w:ind w:left="14" w:firstLine="0"/>
      </w:pPr>
      <w:r>
        <w:t xml:space="preserve">  </w:t>
      </w:r>
    </w:p>
    <w:p w14:paraId="24AE0085" w14:textId="77777777" w:rsidR="008B3241" w:rsidRDefault="00AC416D">
      <w:pPr>
        <w:pStyle w:val="Kop2"/>
        <w:ind w:left="-1" w:right="1952"/>
      </w:pPr>
      <w:bookmarkStart w:id="3" w:name="_Toc11290"/>
      <w:r>
        <w:rPr>
          <w:u w:val="none"/>
        </w:rPr>
        <w:t xml:space="preserve">4. </w:t>
      </w:r>
      <w:r>
        <w:t xml:space="preserve">Human </w:t>
      </w:r>
      <w:proofErr w:type="spellStart"/>
      <w:r>
        <w:t>rights</w:t>
      </w:r>
      <w:proofErr w:type="spellEnd"/>
      <w:r>
        <w:t xml:space="preserve"> Impact Assessment </w:t>
      </w:r>
      <w:r>
        <w:rPr>
          <w:u w:val="none"/>
        </w:rPr>
        <w:t xml:space="preserve"> </w:t>
      </w:r>
      <w:bookmarkEnd w:id="3"/>
    </w:p>
    <w:p w14:paraId="4256BBDE" w14:textId="77777777" w:rsidR="008B3241" w:rsidRPr="00AC416D" w:rsidRDefault="00AC416D">
      <w:pPr>
        <w:spacing w:after="735"/>
        <w:ind w:left="24"/>
        <w:rPr>
          <w:lang w:val="en-US"/>
        </w:rPr>
      </w:pPr>
      <w:r w:rsidRPr="00AC416D">
        <w:rPr>
          <w:lang w:val="en-US"/>
        </w:rPr>
        <w:t xml:space="preserve">For new projects or major changes to existing facilities a human rights impact assessment, including a gender analysis will be conducted.  </w:t>
      </w:r>
    </w:p>
    <w:p w14:paraId="14720D6A" w14:textId="77777777" w:rsidR="008B3241" w:rsidRPr="00AC416D" w:rsidRDefault="00AC416D">
      <w:pPr>
        <w:pStyle w:val="Kop2"/>
        <w:ind w:left="-1" w:right="1952"/>
        <w:rPr>
          <w:lang w:val="en-US"/>
        </w:rPr>
      </w:pPr>
      <w:bookmarkStart w:id="4" w:name="_Toc11291"/>
      <w:r w:rsidRPr="00AC416D">
        <w:rPr>
          <w:u w:val="none"/>
          <w:lang w:val="en-US"/>
        </w:rPr>
        <w:t xml:space="preserve">5. </w:t>
      </w:r>
      <w:proofErr w:type="spellStart"/>
      <w:r w:rsidRPr="00AC416D">
        <w:rPr>
          <w:lang w:val="en-US"/>
        </w:rPr>
        <w:t>Non compliance</w:t>
      </w:r>
      <w:proofErr w:type="spellEnd"/>
      <w:r w:rsidRPr="00AC416D">
        <w:rPr>
          <w:lang w:val="en-US"/>
        </w:rPr>
        <w:t xml:space="preserve"> and liability</w:t>
      </w:r>
      <w:r w:rsidRPr="00AC416D">
        <w:rPr>
          <w:u w:val="none"/>
          <w:lang w:val="en-US"/>
        </w:rPr>
        <w:t xml:space="preserve"> </w:t>
      </w:r>
      <w:r w:rsidRPr="00AC416D">
        <w:rPr>
          <w:b w:val="0"/>
          <w:u w:val="none"/>
          <w:lang w:val="en-US"/>
        </w:rPr>
        <w:t xml:space="preserve"> </w:t>
      </w:r>
      <w:bookmarkEnd w:id="4"/>
    </w:p>
    <w:p w14:paraId="76796635" w14:textId="77777777" w:rsidR="008B3241" w:rsidRPr="00AC416D" w:rsidRDefault="00AC416D">
      <w:pPr>
        <w:ind w:left="24"/>
        <w:rPr>
          <w:lang w:val="en-US"/>
        </w:rPr>
      </w:pPr>
      <w:r w:rsidRPr="00AC416D">
        <w:rPr>
          <w:lang w:val="en-US"/>
        </w:rPr>
        <w:t xml:space="preserve">At the time of publication, there are no pending legal violations and associated fines, judgements, penalties or non-monetary sanctions.   </w:t>
      </w:r>
    </w:p>
    <w:p w14:paraId="2A530321" w14:textId="77777777" w:rsidR="008B3241" w:rsidRPr="00AC416D" w:rsidRDefault="00AC416D">
      <w:pPr>
        <w:spacing w:after="774" w:line="259" w:lineRule="auto"/>
        <w:ind w:left="14" w:firstLine="0"/>
        <w:rPr>
          <w:lang w:val="en-US"/>
        </w:rPr>
      </w:pPr>
      <w:r w:rsidRPr="00AC416D">
        <w:rPr>
          <w:b/>
          <w:lang w:val="en-US"/>
        </w:rPr>
        <w:t xml:space="preserve">  </w:t>
      </w:r>
    </w:p>
    <w:p w14:paraId="4DABD6D7" w14:textId="77777777" w:rsidR="008B3241" w:rsidRPr="00AC416D" w:rsidRDefault="00AC416D">
      <w:pPr>
        <w:spacing w:after="0" w:line="259" w:lineRule="auto"/>
        <w:ind w:left="14" w:firstLine="0"/>
        <w:rPr>
          <w:lang w:val="en-US"/>
        </w:rPr>
      </w:pPr>
      <w:r w:rsidRPr="00AC416D">
        <w:rPr>
          <w:b/>
          <w:lang w:val="en-US"/>
        </w:rPr>
        <w:t xml:space="preserve"> </w:t>
      </w:r>
    </w:p>
    <w:p w14:paraId="545DC561" w14:textId="77777777" w:rsidR="008B3241" w:rsidRPr="00AC416D" w:rsidRDefault="00AC416D">
      <w:pPr>
        <w:pStyle w:val="Kop2"/>
        <w:ind w:left="-1" w:right="1952"/>
        <w:rPr>
          <w:lang w:val="en-US"/>
        </w:rPr>
      </w:pPr>
      <w:bookmarkStart w:id="5" w:name="_Toc11292"/>
      <w:r w:rsidRPr="00AC416D">
        <w:rPr>
          <w:u w:val="none"/>
          <w:lang w:val="en-US"/>
        </w:rPr>
        <w:t xml:space="preserve">6. </w:t>
      </w:r>
      <w:r w:rsidRPr="00AC416D">
        <w:rPr>
          <w:lang w:val="en-US"/>
        </w:rPr>
        <w:t>Payments to Governments</w:t>
      </w:r>
      <w:r w:rsidRPr="00AC416D">
        <w:rPr>
          <w:u w:val="none"/>
          <w:lang w:val="en-US"/>
        </w:rPr>
        <w:t xml:space="preserve"> </w:t>
      </w:r>
      <w:r w:rsidRPr="00AC416D">
        <w:rPr>
          <w:b w:val="0"/>
          <w:u w:val="none"/>
          <w:lang w:val="en-US"/>
        </w:rPr>
        <w:t xml:space="preserve">  </w:t>
      </w:r>
      <w:bookmarkEnd w:id="5"/>
    </w:p>
    <w:p w14:paraId="2C69FAD3" w14:textId="77777777" w:rsidR="008B3241" w:rsidRPr="00AC416D" w:rsidRDefault="00AC416D">
      <w:pPr>
        <w:spacing w:after="747"/>
        <w:ind w:left="24"/>
        <w:rPr>
          <w:lang w:val="en-US"/>
        </w:rPr>
      </w:pPr>
      <w:r w:rsidRPr="00AC416D">
        <w:rPr>
          <w:lang w:val="en-US"/>
        </w:rPr>
        <w:t xml:space="preserve">Nedal maintains a good professional relationship with all the involved authorities and relies on good dialogue and transparency. During the reporting period, Nedal did not make any payments to governments that exceed legal requirements.    </w:t>
      </w:r>
    </w:p>
    <w:p w14:paraId="78C8294C" w14:textId="77777777" w:rsidR="008B3241" w:rsidRPr="00AC416D" w:rsidRDefault="00AC416D">
      <w:pPr>
        <w:pStyle w:val="Kop2"/>
        <w:spacing w:after="0" w:line="447" w:lineRule="auto"/>
        <w:ind w:left="-1" w:right="687"/>
        <w:rPr>
          <w:lang w:val="en-US"/>
        </w:rPr>
      </w:pPr>
      <w:bookmarkStart w:id="6" w:name="_Toc11293"/>
      <w:r w:rsidRPr="00AC416D">
        <w:rPr>
          <w:u w:val="none"/>
          <w:lang w:val="en-US"/>
        </w:rPr>
        <w:lastRenderedPageBreak/>
        <w:t xml:space="preserve"> 7. </w:t>
      </w:r>
      <w:r w:rsidRPr="00AC416D">
        <w:rPr>
          <w:lang w:val="en-US"/>
        </w:rPr>
        <w:t>Stakeholder Complaints, Grievances and Request for Information</w:t>
      </w:r>
      <w:r w:rsidRPr="00AC416D">
        <w:rPr>
          <w:u w:val="none"/>
          <w:lang w:val="en-US"/>
        </w:rPr>
        <w:t xml:space="preserve">   </w:t>
      </w:r>
      <w:r w:rsidRPr="00AC416D">
        <w:rPr>
          <w:b w:val="0"/>
          <w:u w:val="none"/>
          <w:lang w:val="en-US"/>
        </w:rPr>
        <w:t xml:space="preserve"> </w:t>
      </w:r>
      <w:bookmarkEnd w:id="6"/>
    </w:p>
    <w:p w14:paraId="31E52EBD" w14:textId="77777777" w:rsidR="008B3241" w:rsidRPr="00AC416D" w:rsidRDefault="00AC416D">
      <w:pPr>
        <w:spacing w:after="0" w:line="447" w:lineRule="auto"/>
        <w:ind w:left="-1" w:right="687" w:firstLine="4"/>
        <w:rPr>
          <w:lang w:val="en-US"/>
        </w:rPr>
      </w:pPr>
      <w:r w:rsidRPr="00AC416D">
        <w:rPr>
          <w:lang w:val="en-US"/>
        </w:rPr>
        <w:t xml:space="preserve">See Code of Conduct:  </w:t>
      </w:r>
    </w:p>
    <w:p w14:paraId="4517361B" w14:textId="77777777" w:rsidR="008B3241" w:rsidRPr="00AC416D" w:rsidRDefault="00AC416D">
      <w:pPr>
        <w:spacing w:after="735"/>
        <w:ind w:left="24"/>
        <w:rPr>
          <w:lang w:val="en-US"/>
        </w:rPr>
      </w:pPr>
      <w:r w:rsidRPr="00AC416D">
        <w:rPr>
          <w:lang w:val="en-US"/>
        </w:rPr>
        <w:t xml:space="preserve">The link to the anonymous reporting channel can be found on the Nedal website (Quality).  </w:t>
      </w:r>
    </w:p>
    <w:p w14:paraId="26838AFE" w14:textId="77777777" w:rsidR="008B3241" w:rsidRPr="00AC416D" w:rsidRDefault="00AC416D">
      <w:pPr>
        <w:pStyle w:val="Kop2"/>
        <w:ind w:left="-1" w:right="1952"/>
        <w:rPr>
          <w:lang w:val="en-US"/>
        </w:rPr>
      </w:pPr>
      <w:bookmarkStart w:id="7" w:name="_Toc11294"/>
      <w:r w:rsidRPr="00AC416D">
        <w:rPr>
          <w:u w:val="none"/>
          <w:lang w:val="en-US"/>
        </w:rPr>
        <w:t xml:space="preserve">8. </w:t>
      </w:r>
      <w:r w:rsidRPr="00AC416D">
        <w:rPr>
          <w:lang w:val="en-US"/>
        </w:rPr>
        <w:t>Environmental Life Cycle Assessment</w:t>
      </w:r>
      <w:r w:rsidRPr="00AC416D">
        <w:rPr>
          <w:u w:val="none"/>
          <w:lang w:val="en-US"/>
        </w:rPr>
        <w:t xml:space="preserve"> </w:t>
      </w:r>
      <w:r w:rsidRPr="00AC416D">
        <w:rPr>
          <w:b w:val="0"/>
          <w:u w:val="none"/>
          <w:lang w:val="en-US"/>
        </w:rPr>
        <w:t xml:space="preserve"> </w:t>
      </w:r>
      <w:bookmarkEnd w:id="7"/>
    </w:p>
    <w:p w14:paraId="1F77FC4E" w14:textId="77777777" w:rsidR="008B3241" w:rsidRPr="00AC416D" w:rsidRDefault="00AC416D">
      <w:pPr>
        <w:spacing w:after="113" w:line="354" w:lineRule="auto"/>
        <w:ind w:left="10"/>
        <w:rPr>
          <w:lang w:val="en-US"/>
        </w:rPr>
      </w:pPr>
      <w:r>
        <w:rPr>
          <w:noProof/>
        </w:rPr>
        <w:drawing>
          <wp:anchor distT="0" distB="0" distL="114300" distR="114300" simplePos="0" relativeHeight="251658240" behindDoc="0" locked="0" layoutInCell="1" allowOverlap="0" wp14:anchorId="57AA731B" wp14:editId="410EBBDC">
            <wp:simplePos x="0" y="0"/>
            <wp:positionH relativeFrom="page">
              <wp:posOffset>203428</wp:posOffset>
            </wp:positionH>
            <wp:positionV relativeFrom="page">
              <wp:posOffset>9877918</wp:posOffset>
            </wp:positionV>
            <wp:extent cx="1675216" cy="591898"/>
            <wp:effectExtent l="0" t="0" r="0" b="0"/>
            <wp:wrapTopAndBottom/>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1675216" cy="591898"/>
                    </a:xfrm>
                    <a:prstGeom prst="rect">
                      <a:avLst/>
                    </a:prstGeom>
                  </pic:spPr>
                </pic:pic>
              </a:graphicData>
            </a:graphic>
          </wp:anchor>
        </w:drawing>
      </w:r>
      <w:r>
        <w:rPr>
          <w:noProof/>
        </w:rPr>
        <w:drawing>
          <wp:anchor distT="0" distB="0" distL="114300" distR="114300" simplePos="0" relativeHeight="251659264" behindDoc="0" locked="0" layoutInCell="1" allowOverlap="0" wp14:anchorId="6D49B3B9" wp14:editId="3F80A104">
            <wp:simplePos x="0" y="0"/>
            <wp:positionH relativeFrom="page">
              <wp:posOffset>3177179</wp:posOffset>
            </wp:positionH>
            <wp:positionV relativeFrom="page">
              <wp:posOffset>9937859</wp:posOffset>
            </wp:positionV>
            <wp:extent cx="1162223" cy="472018"/>
            <wp:effectExtent l="0" t="0" r="0" b="0"/>
            <wp:wrapTopAndBottom/>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8"/>
                    <a:stretch>
                      <a:fillRect/>
                    </a:stretch>
                  </pic:blipFill>
                  <pic:spPr>
                    <a:xfrm>
                      <a:off x="0" y="0"/>
                      <a:ext cx="1162223" cy="472018"/>
                    </a:xfrm>
                    <a:prstGeom prst="rect">
                      <a:avLst/>
                    </a:prstGeom>
                  </pic:spPr>
                </pic:pic>
              </a:graphicData>
            </a:graphic>
          </wp:anchor>
        </w:drawing>
      </w:r>
      <w:r w:rsidRPr="00AC416D">
        <w:rPr>
          <w:lang w:val="en-US"/>
        </w:rPr>
        <w:t xml:space="preserve">For the extrusion and production of lighting columns a Life Cycle Analysis has been performed, by the Climate Neutral Group standard, certified by Preferred by Nature:   </w:t>
      </w:r>
      <w:hyperlink r:id="rId9">
        <w:r w:rsidRPr="00AC416D">
          <w:rPr>
            <w:color w:val="0000FF"/>
            <w:u w:val="single" w:color="0000FF"/>
            <w:lang w:val="en-US"/>
          </w:rPr>
          <w:t>https://www.climateneutralcertification.com</w:t>
        </w:r>
      </w:hyperlink>
      <w:hyperlink r:id="rId10">
        <w:r w:rsidRPr="00AC416D">
          <w:rPr>
            <w:lang w:val="en-US"/>
          </w:rPr>
          <w:t xml:space="preserve">  </w:t>
        </w:r>
      </w:hyperlink>
    </w:p>
    <w:p w14:paraId="5917017E" w14:textId="77777777" w:rsidR="008B3241" w:rsidRPr="00AC416D" w:rsidRDefault="00AC416D">
      <w:pPr>
        <w:ind w:left="10"/>
        <w:rPr>
          <w:lang w:val="en-US"/>
        </w:rPr>
      </w:pPr>
      <w:r w:rsidRPr="00AC416D">
        <w:rPr>
          <w:lang w:val="en-US"/>
        </w:rPr>
        <w:t xml:space="preserve">Scope: Raw material, transport of billets, extrusion, production of lighting columns and transport to customers.  </w:t>
      </w:r>
    </w:p>
    <w:p w14:paraId="62A131B6" w14:textId="77777777" w:rsidR="008B3241" w:rsidRPr="00AC416D" w:rsidRDefault="00AC416D">
      <w:pPr>
        <w:ind w:left="10"/>
        <w:rPr>
          <w:lang w:val="en-US"/>
        </w:rPr>
      </w:pPr>
      <w:r w:rsidRPr="00AC416D">
        <w:rPr>
          <w:lang w:val="en-US"/>
        </w:rPr>
        <w:t xml:space="preserve">By using a high percentage of recycled </w:t>
      </w:r>
      <w:proofErr w:type="spellStart"/>
      <w:r w:rsidRPr="00AC416D">
        <w:rPr>
          <w:lang w:val="en-US"/>
        </w:rPr>
        <w:t>aluminium</w:t>
      </w:r>
      <w:proofErr w:type="spellEnd"/>
      <w:r w:rsidRPr="00AC416D">
        <w:rPr>
          <w:lang w:val="en-US"/>
        </w:rPr>
        <w:t xml:space="preserve">, the CO2-footprint is kept low: The remainder of the CO2-footprint is being off-set by contribution to certified CO2-saving projects.  </w:t>
      </w:r>
    </w:p>
    <w:p w14:paraId="5CFD0562" w14:textId="77777777" w:rsidR="008B3241" w:rsidRPr="00AC416D" w:rsidRDefault="00AC416D">
      <w:pPr>
        <w:ind w:left="10"/>
        <w:rPr>
          <w:lang w:val="en-US"/>
        </w:rPr>
      </w:pPr>
      <w:r w:rsidRPr="00AC416D">
        <w:rPr>
          <w:lang w:val="en-US"/>
        </w:rPr>
        <w:t xml:space="preserve">For the Dutch National Environmental Database a certified LCA for lighting columns was set up according to: ISO 14040/14044 and EN 15804 (+A1/A2).  </w:t>
      </w:r>
    </w:p>
    <w:p w14:paraId="71C45A83" w14:textId="77777777" w:rsidR="008B3241" w:rsidRPr="00AC416D" w:rsidRDefault="00AC416D">
      <w:pPr>
        <w:ind w:left="10"/>
        <w:rPr>
          <w:lang w:val="en-US"/>
        </w:rPr>
      </w:pPr>
      <w:r w:rsidRPr="00AC416D">
        <w:rPr>
          <w:lang w:val="en-US"/>
        </w:rPr>
        <w:t xml:space="preserve">Scope: Raw material, production, construction, use, end-of-life, resource recovery stage.  </w:t>
      </w:r>
    </w:p>
    <w:p w14:paraId="14D15299" w14:textId="77777777" w:rsidR="008B3241" w:rsidRPr="00AC416D" w:rsidRDefault="00AC416D">
      <w:pPr>
        <w:ind w:left="10"/>
        <w:rPr>
          <w:lang w:val="en-US"/>
        </w:rPr>
      </w:pPr>
      <w:r w:rsidRPr="00AC416D">
        <w:rPr>
          <w:lang w:val="en-US"/>
        </w:rPr>
        <w:t xml:space="preserve">A summary of the LCA (EPD) is accessible on the Nedal website.  </w:t>
      </w:r>
    </w:p>
    <w:p w14:paraId="3D5A6690" w14:textId="77777777" w:rsidR="008B3241" w:rsidRPr="00AC416D" w:rsidRDefault="00AC416D">
      <w:pPr>
        <w:spacing w:after="1320" w:line="259" w:lineRule="auto"/>
        <w:ind w:left="14" w:firstLine="0"/>
        <w:rPr>
          <w:lang w:val="en-US"/>
        </w:rPr>
      </w:pPr>
      <w:r w:rsidRPr="00AC416D">
        <w:rPr>
          <w:lang w:val="en-US"/>
        </w:rPr>
        <w:t xml:space="preserve">  </w:t>
      </w:r>
    </w:p>
    <w:p w14:paraId="501D77E1" w14:textId="77777777" w:rsidR="008B3241" w:rsidRPr="00AC416D" w:rsidRDefault="00AC416D">
      <w:pPr>
        <w:spacing w:after="0" w:line="259" w:lineRule="auto"/>
        <w:ind w:left="14" w:firstLine="0"/>
        <w:rPr>
          <w:lang w:val="en-US"/>
        </w:rPr>
      </w:pPr>
      <w:r w:rsidRPr="00AC416D">
        <w:rPr>
          <w:lang w:val="en-US"/>
        </w:rPr>
        <w:t xml:space="preserve"> </w:t>
      </w:r>
    </w:p>
    <w:p w14:paraId="158CDD37" w14:textId="77777777" w:rsidR="008B3241" w:rsidRPr="00AC416D" w:rsidRDefault="00AC416D">
      <w:pPr>
        <w:pStyle w:val="Kop2"/>
        <w:spacing w:after="0" w:line="447" w:lineRule="auto"/>
        <w:ind w:left="-1" w:right="2986"/>
        <w:rPr>
          <w:lang w:val="en-US"/>
        </w:rPr>
      </w:pPr>
      <w:bookmarkStart w:id="8" w:name="_Toc11295"/>
      <w:r w:rsidRPr="00AC416D">
        <w:rPr>
          <w:u w:val="none"/>
          <w:lang w:val="en-US"/>
        </w:rPr>
        <w:t xml:space="preserve">9. </w:t>
      </w:r>
      <w:r w:rsidRPr="00AC416D">
        <w:rPr>
          <w:lang w:val="en-US"/>
        </w:rPr>
        <w:t>Disclosure of GHG Emissions and Energy Use</w:t>
      </w:r>
      <w:r w:rsidRPr="00AC416D">
        <w:rPr>
          <w:b w:val="0"/>
          <w:u w:val="none"/>
          <w:lang w:val="en-US"/>
        </w:rPr>
        <w:t xml:space="preserve"> </w:t>
      </w:r>
      <w:bookmarkEnd w:id="8"/>
    </w:p>
    <w:p w14:paraId="580F3EBA" w14:textId="77777777" w:rsidR="008B3241" w:rsidRDefault="00AC416D">
      <w:pPr>
        <w:spacing w:after="0" w:line="447" w:lineRule="auto"/>
        <w:ind w:left="-1" w:right="2986" w:firstLine="4"/>
      </w:pPr>
      <w:r>
        <w:rPr>
          <w:b/>
        </w:rPr>
        <w:t xml:space="preserve">2022: </w:t>
      </w:r>
      <w:r>
        <w:t xml:space="preserve"> </w:t>
      </w:r>
    </w:p>
    <w:p w14:paraId="5BE644CE" w14:textId="77777777" w:rsidR="008B3241" w:rsidRDefault="00AC416D">
      <w:pPr>
        <w:numPr>
          <w:ilvl w:val="0"/>
          <w:numId w:val="2"/>
        </w:numPr>
        <w:spacing w:after="235" w:line="259" w:lineRule="auto"/>
        <w:ind w:hanging="360"/>
      </w:pPr>
      <w:r>
        <w:rPr>
          <w:b/>
        </w:rPr>
        <w:t xml:space="preserve">Total </w:t>
      </w:r>
      <w:proofErr w:type="spellStart"/>
      <w:r>
        <w:rPr>
          <w:b/>
        </w:rPr>
        <w:t>electricity</w:t>
      </w:r>
      <w:proofErr w:type="spellEnd"/>
      <w:r>
        <w:rPr>
          <w:b/>
        </w:rPr>
        <w:t xml:space="preserve"> </w:t>
      </w:r>
      <w:proofErr w:type="spellStart"/>
      <w:r>
        <w:rPr>
          <w:b/>
        </w:rPr>
        <w:t>consumption</w:t>
      </w:r>
      <w:proofErr w:type="spellEnd"/>
      <w:r>
        <w:rPr>
          <w:b/>
        </w:rPr>
        <w:t xml:space="preserve">:  </w:t>
      </w:r>
      <w:r>
        <w:t xml:space="preserve"> </w:t>
      </w:r>
    </w:p>
    <w:p w14:paraId="2BEA6782" w14:textId="77777777" w:rsidR="008B3241" w:rsidRPr="00AC416D" w:rsidRDefault="00AC416D">
      <w:pPr>
        <w:spacing w:after="0" w:line="436" w:lineRule="auto"/>
        <w:ind w:left="732" w:right="2137"/>
        <w:rPr>
          <w:lang w:val="en-US"/>
        </w:rPr>
      </w:pPr>
      <w:r w:rsidRPr="00AC416D">
        <w:rPr>
          <w:lang w:val="en-US"/>
        </w:rPr>
        <w:t xml:space="preserve">Green: 6.671.748 kWh (including lighting columns).  Grey:     6.671.748 kWh  </w:t>
      </w:r>
    </w:p>
    <w:p w14:paraId="5A91A371" w14:textId="77777777" w:rsidR="008B3241" w:rsidRPr="00AC416D" w:rsidRDefault="00AC416D">
      <w:pPr>
        <w:tabs>
          <w:tab w:val="center" w:pos="2406"/>
        </w:tabs>
        <w:ind w:left="0" w:firstLine="0"/>
        <w:rPr>
          <w:lang w:val="en-US"/>
        </w:rPr>
      </w:pPr>
      <w:r w:rsidRPr="00AC416D">
        <w:rPr>
          <w:lang w:val="en-US"/>
        </w:rPr>
        <w:t xml:space="preserve">  </w:t>
      </w:r>
      <w:r w:rsidRPr="00AC416D">
        <w:rPr>
          <w:lang w:val="en-US"/>
        </w:rPr>
        <w:tab/>
        <w:t xml:space="preserve">Compared to 2021: - 3 % per ton Al  </w:t>
      </w:r>
    </w:p>
    <w:p w14:paraId="20380F41" w14:textId="77777777" w:rsidR="008B3241" w:rsidRPr="00AC416D" w:rsidRDefault="00AC416D">
      <w:pPr>
        <w:numPr>
          <w:ilvl w:val="0"/>
          <w:numId w:val="2"/>
        </w:numPr>
        <w:spacing w:after="235" w:line="259" w:lineRule="auto"/>
        <w:ind w:hanging="360"/>
        <w:rPr>
          <w:lang w:val="en-US"/>
        </w:rPr>
      </w:pPr>
      <w:r w:rsidRPr="00AC416D">
        <w:rPr>
          <w:b/>
          <w:lang w:val="en-US"/>
        </w:rPr>
        <w:t xml:space="preserve">Total gas consumption (including lighting columns):  </w:t>
      </w:r>
      <w:r w:rsidRPr="00AC416D">
        <w:rPr>
          <w:lang w:val="en-US"/>
        </w:rPr>
        <w:t xml:space="preserve"> </w:t>
      </w:r>
    </w:p>
    <w:p w14:paraId="21ADE4FE" w14:textId="77777777" w:rsidR="008B3241" w:rsidRPr="00AC416D" w:rsidRDefault="00AC416D">
      <w:pPr>
        <w:ind w:left="744"/>
        <w:rPr>
          <w:lang w:val="en-US"/>
        </w:rPr>
      </w:pPr>
      <w:r w:rsidRPr="00AC416D">
        <w:rPr>
          <w:lang w:val="en-US"/>
        </w:rPr>
        <w:t xml:space="preserve">1.555.771 m3    </w:t>
      </w:r>
    </w:p>
    <w:p w14:paraId="2736967A" w14:textId="77777777" w:rsidR="008B3241" w:rsidRPr="00AC416D" w:rsidRDefault="00AC416D">
      <w:pPr>
        <w:spacing w:after="22" w:line="433" w:lineRule="auto"/>
        <w:ind w:left="359" w:right="4061" w:firstLine="375"/>
        <w:rPr>
          <w:lang w:val="en-US"/>
        </w:rPr>
      </w:pPr>
      <w:r w:rsidRPr="00AC416D">
        <w:rPr>
          <w:lang w:val="en-US"/>
        </w:rPr>
        <w:lastRenderedPageBreak/>
        <w:t xml:space="preserve">Compared to 2021: - 5,7 % per ton Al  </w:t>
      </w:r>
      <w:r w:rsidRPr="00AC416D">
        <w:rPr>
          <w:lang w:val="en-US"/>
        </w:rPr>
        <w:t xml:space="preserve">- </w:t>
      </w:r>
      <w:r w:rsidRPr="00AC416D">
        <w:rPr>
          <w:b/>
          <w:lang w:val="en-US"/>
        </w:rPr>
        <w:t xml:space="preserve">Total CO2- GHG Emissions: </w:t>
      </w:r>
      <w:r w:rsidRPr="00AC416D">
        <w:rPr>
          <w:lang w:val="en-US"/>
        </w:rPr>
        <w:t xml:space="preserve"> </w:t>
      </w:r>
    </w:p>
    <w:p w14:paraId="7437949E" w14:textId="77777777" w:rsidR="008B3241" w:rsidRPr="00AC416D" w:rsidRDefault="00AC416D">
      <w:pPr>
        <w:ind w:left="732"/>
        <w:rPr>
          <w:lang w:val="en-US"/>
        </w:rPr>
      </w:pPr>
      <w:r w:rsidRPr="00AC416D">
        <w:rPr>
          <w:lang w:val="en-US"/>
        </w:rPr>
        <w:t xml:space="preserve">Electricity (scope 2): 3.489 ton  </w:t>
      </w:r>
    </w:p>
    <w:p w14:paraId="134D6A7C" w14:textId="77777777" w:rsidR="008B3241" w:rsidRPr="00AC416D" w:rsidRDefault="00AC416D">
      <w:pPr>
        <w:ind w:left="732"/>
        <w:rPr>
          <w:lang w:val="en-US"/>
        </w:rPr>
      </w:pPr>
      <w:r w:rsidRPr="00AC416D">
        <w:rPr>
          <w:lang w:val="en-US"/>
        </w:rPr>
        <w:t xml:space="preserve">Gas (scope 1): 3.243 ton  </w:t>
      </w:r>
    </w:p>
    <w:p w14:paraId="1BFADEE8" w14:textId="77777777" w:rsidR="008B3241" w:rsidRPr="00AC416D" w:rsidRDefault="00AC416D">
      <w:pPr>
        <w:ind w:left="732"/>
        <w:rPr>
          <w:lang w:val="en-US"/>
        </w:rPr>
      </w:pPr>
      <w:r w:rsidRPr="00AC416D">
        <w:rPr>
          <w:lang w:val="en-US"/>
        </w:rPr>
        <w:t xml:space="preserve">Off-set (Climate Neutral Group): 2.724 ton  </w:t>
      </w:r>
    </w:p>
    <w:p w14:paraId="0246252E" w14:textId="77777777" w:rsidR="008B3241" w:rsidRPr="00AC416D" w:rsidRDefault="00AC416D">
      <w:pPr>
        <w:spacing w:after="736"/>
        <w:ind w:left="732"/>
        <w:rPr>
          <w:lang w:val="en-US"/>
        </w:rPr>
      </w:pPr>
      <w:r w:rsidRPr="00AC416D">
        <w:rPr>
          <w:lang w:val="en-US"/>
        </w:rPr>
        <w:t xml:space="preserve">In December 2023 an independent full-emission survey will be conducted  </w:t>
      </w:r>
    </w:p>
    <w:p w14:paraId="580D0058" w14:textId="77777777" w:rsidR="008B3241" w:rsidRPr="00AC416D" w:rsidRDefault="00AC416D">
      <w:pPr>
        <w:pStyle w:val="Kop1"/>
        <w:ind w:left="-1" w:right="1952"/>
        <w:rPr>
          <w:lang w:val="en-US"/>
        </w:rPr>
      </w:pPr>
      <w:bookmarkStart w:id="9" w:name="_Toc11296"/>
      <w:r w:rsidRPr="00AC416D">
        <w:rPr>
          <w:u w:val="none"/>
          <w:lang w:val="en-US"/>
        </w:rPr>
        <w:t xml:space="preserve">10. </w:t>
      </w:r>
      <w:r w:rsidRPr="00AC416D">
        <w:rPr>
          <w:lang w:val="en-US"/>
        </w:rPr>
        <w:t>GHG Emissions Reduction Plans</w:t>
      </w:r>
      <w:r w:rsidRPr="00AC416D">
        <w:rPr>
          <w:u w:val="none"/>
          <w:lang w:val="en-US"/>
        </w:rPr>
        <w:t xml:space="preserve">  </w:t>
      </w:r>
      <w:bookmarkEnd w:id="9"/>
    </w:p>
    <w:p w14:paraId="05D31760" w14:textId="3189409A" w:rsidR="008B3241" w:rsidRPr="00AC416D" w:rsidRDefault="00AC416D">
      <w:pPr>
        <w:ind w:left="10"/>
        <w:rPr>
          <w:lang w:val="en-US"/>
        </w:rPr>
      </w:pPr>
      <w:r w:rsidRPr="00AC416D">
        <w:rPr>
          <w:lang w:val="en-US"/>
        </w:rPr>
        <w:t>Nedal</w:t>
      </w:r>
      <w:r>
        <w:rPr>
          <w:lang w:val="en-US"/>
        </w:rPr>
        <w:t xml:space="preserve"> </w:t>
      </w:r>
      <w:r w:rsidRPr="00AC416D">
        <w:rPr>
          <w:lang w:val="en-US"/>
        </w:rPr>
        <w:t xml:space="preserve">is committed to reduce the GHG-emissions in order to keep the warming of the earth below </w:t>
      </w:r>
      <w:r w:rsidRPr="00AC416D">
        <w:rPr>
          <w:lang w:val="en-US"/>
        </w:rPr>
        <w:tab/>
        <w:t xml:space="preserve">1,5 </w:t>
      </w:r>
      <w:r w:rsidRPr="00AC416D">
        <w:rPr>
          <w:rFonts w:ascii="Arial" w:eastAsia="Arial" w:hAnsi="Arial" w:cs="Arial"/>
          <w:lang w:val="en-US"/>
        </w:rPr>
        <w:t>⁰</w:t>
      </w:r>
      <w:r w:rsidRPr="00AC416D">
        <w:rPr>
          <w:lang w:val="en-US"/>
        </w:rPr>
        <w:t xml:space="preserve">C.  </w:t>
      </w:r>
    </w:p>
    <w:p w14:paraId="0E347B78" w14:textId="77777777" w:rsidR="008B3241" w:rsidRDefault="00AC416D">
      <w:pPr>
        <w:ind w:left="10"/>
      </w:pPr>
      <w:r>
        <w:t xml:space="preserve">Targets </w:t>
      </w:r>
      <w:proofErr w:type="spellStart"/>
      <w:r>
        <w:t>for</w:t>
      </w:r>
      <w:proofErr w:type="spellEnd"/>
      <w:r>
        <w:t xml:space="preserve"> </w:t>
      </w:r>
      <w:proofErr w:type="spellStart"/>
      <w:r>
        <w:t>the</w:t>
      </w:r>
      <w:proofErr w:type="spellEnd"/>
      <w:r>
        <w:t xml:space="preserve"> </w:t>
      </w:r>
      <w:proofErr w:type="spellStart"/>
      <w:r>
        <w:t>year</w:t>
      </w:r>
      <w:proofErr w:type="spellEnd"/>
      <w:r>
        <w:t xml:space="preserve"> 2023:  </w:t>
      </w:r>
    </w:p>
    <w:p w14:paraId="0E7169E9" w14:textId="77777777" w:rsidR="008B3241" w:rsidRPr="00AC416D" w:rsidRDefault="00AC416D">
      <w:pPr>
        <w:numPr>
          <w:ilvl w:val="0"/>
          <w:numId w:val="3"/>
        </w:numPr>
        <w:ind w:hanging="360"/>
        <w:rPr>
          <w:lang w:val="en-US"/>
        </w:rPr>
      </w:pPr>
      <w:r w:rsidRPr="00AC416D">
        <w:rPr>
          <w:lang w:val="en-US"/>
        </w:rPr>
        <w:t xml:space="preserve">Reduce the CO2-footprint of the production by 2 %  </w:t>
      </w:r>
    </w:p>
    <w:p w14:paraId="2FF8D5C7" w14:textId="77777777" w:rsidR="008B3241" w:rsidRPr="00AC416D" w:rsidRDefault="00AC416D">
      <w:pPr>
        <w:numPr>
          <w:ilvl w:val="0"/>
          <w:numId w:val="3"/>
        </w:numPr>
        <w:ind w:hanging="360"/>
        <w:rPr>
          <w:lang w:val="en-US"/>
        </w:rPr>
      </w:pPr>
      <w:r w:rsidRPr="00AC416D">
        <w:rPr>
          <w:lang w:val="en-US"/>
        </w:rPr>
        <w:t xml:space="preserve">Processing a high % of secondary </w:t>
      </w:r>
      <w:proofErr w:type="spellStart"/>
      <w:r w:rsidRPr="00AC416D">
        <w:rPr>
          <w:lang w:val="en-US"/>
        </w:rPr>
        <w:t>aluminium</w:t>
      </w:r>
      <w:proofErr w:type="spellEnd"/>
      <w:r w:rsidRPr="00AC416D">
        <w:rPr>
          <w:lang w:val="en-US"/>
        </w:rPr>
        <w:t xml:space="preserve">: more than 60 % of the total.  </w:t>
      </w:r>
    </w:p>
    <w:p w14:paraId="782E0DBA" w14:textId="77777777" w:rsidR="008B3241" w:rsidRDefault="00AC416D">
      <w:pPr>
        <w:numPr>
          <w:ilvl w:val="0"/>
          <w:numId w:val="3"/>
        </w:numPr>
        <w:ind w:hanging="360"/>
      </w:pPr>
      <w:r w:rsidRPr="00AC416D">
        <w:rPr>
          <w:lang w:val="en-US"/>
        </w:rPr>
        <w:t>Reduce the CO2-footprint of the production/</w:t>
      </w:r>
      <w:proofErr w:type="spellStart"/>
      <w:r w:rsidRPr="00AC416D">
        <w:rPr>
          <w:lang w:val="en-US"/>
        </w:rPr>
        <w:t>aluminium</w:t>
      </w:r>
      <w:proofErr w:type="spellEnd"/>
      <w:r w:rsidRPr="00AC416D">
        <w:rPr>
          <w:lang w:val="en-US"/>
        </w:rPr>
        <w:t xml:space="preserve"> of lighting columns with a minimum of 25 % in the year 2030 (refence year: 2016). </w:t>
      </w:r>
      <w:proofErr w:type="spellStart"/>
      <w:r>
        <w:t>Annual</w:t>
      </w:r>
      <w:proofErr w:type="spellEnd"/>
      <w:r>
        <w:t xml:space="preserve">: Min 1,8 %  </w:t>
      </w:r>
    </w:p>
    <w:p w14:paraId="19D1A1FE" w14:textId="77777777" w:rsidR="008B3241" w:rsidRPr="00AC416D" w:rsidRDefault="00AC416D">
      <w:pPr>
        <w:ind w:left="10"/>
        <w:rPr>
          <w:lang w:val="en-US"/>
        </w:rPr>
      </w:pPr>
      <w:r w:rsidRPr="00AC416D">
        <w:rPr>
          <w:lang w:val="en-US"/>
        </w:rPr>
        <w:t xml:space="preserve">Means to reduce the CO2-footprint:  </w:t>
      </w:r>
    </w:p>
    <w:p w14:paraId="1A4045D9" w14:textId="77777777" w:rsidR="008B3241" w:rsidRPr="00AC416D" w:rsidRDefault="00AC416D">
      <w:pPr>
        <w:numPr>
          <w:ilvl w:val="0"/>
          <w:numId w:val="3"/>
        </w:numPr>
        <w:ind w:hanging="360"/>
        <w:rPr>
          <w:lang w:val="en-US"/>
        </w:rPr>
      </w:pPr>
      <w:r w:rsidRPr="00AC416D">
        <w:rPr>
          <w:lang w:val="en-US"/>
        </w:rPr>
        <w:t xml:space="preserve">Increasing efficiency of the processes (material yield) by optimizing processes and investments.  </w:t>
      </w:r>
    </w:p>
    <w:p w14:paraId="71943AD6" w14:textId="77777777" w:rsidR="008B3241" w:rsidRDefault="008B3241">
      <w:pPr>
        <w:rPr>
          <w:lang w:val="en-US"/>
        </w:rPr>
      </w:pPr>
    </w:p>
    <w:p w14:paraId="7D348D8B" w14:textId="3CE42C09" w:rsidR="00AC416D" w:rsidRPr="00AC416D" w:rsidRDefault="00AC416D" w:rsidP="00AC416D">
      <w:pPr>
        <w:pStyle w:val="Lijstalinea"/>
        <w:numPr>
          <w:ilvl w:val="0"/>
          <w:numId w:val="3"/>
        </w:numPr>
        <w:spacing w:after="732"/>
        <w:rPr>
          <w:lang w:val="en-US"/>
        </w:rPr>
      </w:pPr>
      <w:r w:rsidRPr="00AC416D">
        <w:rPr>
          <w:lang w:val="en-US"/>
        </w:rPr>
        <w:t xml:space="preserve">Investments: New efficient cooling towers, new cooling/quenching facilities </w:t>
      </w:r>
      <w:r w:rsidRPr="00AC416D">
        <w:rPr>
          <w:lang w:val="en-US"/>
        </w:rPr>
        <w:t xml:space="preserve">  </w:t>
      </w:r>
      <w:r w:rsidRPr="00AC416D">
        <w:rPr>
          <w:lang w:val="en-US"/>
        </w:rPr>
        <w:t xml:space="preserve">on the 14-inch press.  </w:t>
      </w:r>
    </w:p>
    <w:p w14:paraId="2EC44EA1" w14:textId="77777777" w:rsidR="00AC416D" w:rsidRPr="00AC416D" w:rsidRDefault="00AC416D">
      <w:pPr>
        <w:rPr>
          <w:lang w:val="en-US"/>
        </w:rPr>
        <w:sectPr w:rsidR="00AC416D" w:rsidRPr="00AC416D">
          <w:footerReference w:type="even" r:id="rId11"/>
          <w:footerReference w:type="default" r:id="rId12"/>
          <w:footerReference w:type="first" r:id="rId13"/>
          <w:pgSz w:w="11900" w:h="16840"/>
          <w:pgMar w:top="434" w:right="1447" w:bottom="1534" w:left="1402" w:header="708" w:footer="708" w:gutter="0"/>
          <w:cols w:space="708"/>
          <w:titlePg/>
        </w:sectPr>
      </w:pPr>
    </w:p>
    <w:p w14:paraId="4A89CD23" w14:textId="77777777" w:rsidR="008B3241" w:rsidRPr="00AC416D" w:rsidRDefault="00AC416D">
      <w:pPr>
        <w:pStyle w:val="Kop1"/>
        <w:spacing w:after="0" w:line="436" w:lineRule="auto"/>
        <w:ind w:left="-1" w:right="6215"/>
        <w:rPr>
          <w:lang w:val="en-US"/>
        </w:rPr>
      </w:pPr>
      <w:bookmarkStart w:id="10" w:name="_Toc11297"/>
      <w:r w:rsidRPr="00AC416D">
        <w:rPr>
          <w:u w:val="none"/>
          <w:lang w:val="en-US"/>
        </w:rPr>
        <w:lastRenderedPageBreak/>
        <w:t xml:space="preserve">11. </w:t>
      </w:r>
      <w:r w:rsidRPr="00AC416D">
        <w:rPr>
          <w:lang w:val="en-US"/>
        </w:rPr>
        <w:t>Emissions to air</w:t>
      </w:r>
      <w:r w:rsidRPr="00AC416D">
        <w:rPr>
          <w:b w:val="0"/>
          <w:u w:val="none"/>
          <w:lang w:val="en-US"/>
        </w:rPr>
        <w:t xml:space="preserve"> </w:t>
      </w:r>
      <w:bookmarkEnd w:id="10"/>
    </w:p>
    <w:p w14:paraId="238FA08B" w14:textId="77777777" w:rsidR="008B3241" w:rsidRPr="00AC416D" w:rsidRDefault="00AC416D">
      <w:pPr>
        <w:spacing w:after="0" w:line="436" w:lineRule="auto"/>
        <w:ind w:left="-1" w:right="6215" w:firstLine="4"/>
        <w:rPr>
          <w:lang w:val="en-US"/>
        </w:rPr>
      </w:pPr>
      <w:r w:rsidRPr="00AC416D">
        <w:rPr>
          <w:lang w:val="en-US"/>
        </w:rPr>
        <w:t xml:space="preserve">2022:  </w:t>
      </w:r>
    </w:p>
    <w:p w14:paraId="580EAC64" w14:textId="77777777" w:rsidR="008B3241" w:rsidRPr="00AC416D" w:rsidRDefault="00AC416D">
      <w:pPr>
        <w:ind w:left="10"/>
        <w:rPr>
          <w:lang w:val="en-US"/>
        </w:rPr>
      </w:pPr>
      <w:r w:rsidRPr="00AC416D">
        <w:rPr>
          <w:lang w:val="en-US"/>
        </w:rPr>
        <w:t xml:space="preserve">CO2: (scope 1): 3.243 ton.  </w:t>
      </w:r>
    </w:p>
    <w:p w14:paraId="45F86580" w14:textId="77777777" w:rsidR="008B3241" w:rsidRPr="00AC416D" w:rsidRDefault="00AC416D">
      <w:pPr>
        <w:spacing w:after="749"/>
        <w:ind w:left="10"/>
        <w:rPr>
          <w:lang w:val="en-US"/>
        </w:rPr>
      </w:pPr>
      <w:r w:rsidRPr="00AC416D">
        <w:rPr>
          <w:lang w:val="en-US"/>
        </w:rPr>
        <w:t xml:space="preserve">In December 2023 an independent full-emission to air survey will be conducted  </w:t>
      </w:r>
    </w:p>
    <w:p w14:paraId="655AABED" w14:textId="77777777" w:rsidR="008B3241" w:rsidRPr="00AC416D" w:rsidRDefault="00AC416D">
      <w:pPr>
        <w:pStyle w:val="Kop1"/>
        <w:ind w:left="-1" w:right="1952"/>
        <w:rPr>
          <w:lang w:val="en-US"/>
        </w:rPr>
      </w:pPr>
      <w:bookmarkStart w:id="11" w:name="_Toc11298"/>
      <w:r w:rsidRPr="00AC416D">
        <w:rPr>
          <w:u w:val="none"/>
          <w:lang w:val="en-US"/>
        </w:rPr>
        <w:t>12.</w:t>
      </w:r>
      <w:r w:rsidRPr="00AC416D">
        <w:rPr>
          <w:b w:val="0"/>
          <w:u w:val="none"/>
          <w:lang w:val="en-US"/>
        </w:rPr>
        <w:t xml:space="preserve"> </w:t>
      </w:r>
      <w:r w:rsidRPr="00AC416D">
        <w:rPr>
          <w:lang w:val="en-US"/>
        </w:rPr>
        <w:t>Discharges to water</w:t>
      </w:r>
      <w:r w:rsidRPr="00AC416D">
        <w:rPr>
          <w:b w:val="0"/>
          <w:u w:val="none"/>
          <w:lang w:val="en-US"/>
        </w:rPr>
        <w:t xml:space="preserve"> </w:t>
      </w:r>
      <w:bookmarkEnd w:id="11"/>
    </w:p>
    <w:p w14:paraId="6282876D" w14:textId="77777777" w:rsidR="008B3241" w:rsidRPr="00AC416D" w:rsidRDefault="00AC416D">
      <w:pPr>
        <w:tabs>
          <w:tab w:val="center" w:pos="3696"/>
        </w:tabs>
        <w:spacing w:after="218" w:line="259" w:lineRule="auto"/>
        <w:ind w:left="-15" w:firstLine="0"/>
        <w:rPr>
          <w:lang w:val="en-US"/>
        </w:rPr>
      </w:pPr>
      <w:r w:rsidRPr="00AC416D">
        <w:rPr>
          <w:lang w:val="en-US"/>
        </w:rPr>
        <w:t xml:space="preserve"> </w:t>
      </w:r>
      <w:r w:rsidRPr="00AC416D">
        <w:rPr>
          <w:lang w:val="en-US"/>
        </w:rPr>
        <w:tab/>
        <w:t xml:space="preserve">-  </w:t>
      </w:r>
      <w:r w:rsidRPr="00AC416D">
        <w:rPr>
          <w:u w:val="single" w:color="000000"/>
          <w:lang w:val="en-US"/>
        </w:rPr>
        <w:t>Water analysis by KWA (central sewer discharge point).</w:t>
      </w:r>
      <w:r w:rsidRPr="00AC416D">
        <w:rPr>
          <w:lang w:val="en-US"/>
        </w:rPr>
        <w:t xml:space="preserve">  </w:t>
      </w:r>
    </w:p>
    <w:p w14:paraId="449242C1" w14:textId="77777777" w:rsidR="008B3241" w:rsidRPr="00AC416D" w:rsidRDefault="00AC416D">
      <w:pPr>
        <w:spacing w:after="0" w:line="259" w:lineRule="auto"/>
        <w:ind w:left="1078"/>
        <w:rPr>
          <w:lang w:val="en-US"/>
        </w:rPr>
      </w:pPr>
      <w:r w:rsidRPr="00AC416D">
        <w:rPr>
          <w:u w:val="single" w:color="000000"/>
          <w:lang w:val="en-US"/>
        </w:rPr>
        <w:t xml:space="preserve"> Samples taken on the June, 1</w:t>
      </w:r>
      <w:r w:rsidRPr="00AC416D">
        <w:rPr>
          <w:sz w:val="16"/>
          <w:lang w:val="en-US"/>
        </w:rPr>
        <w:t>st</w:t>
      </w:r>
      <w:r w:rsidRPr="00AC416D">
        <w:rPr>
          <w:u w:val="single" w:color="000000"/>
          <w:lang w:val="en-US"/>
        </w:rPr>
        <w:t xml:space="preserve"> 2023:</w:t>
      </w:r>
      <w:r w:rsidRPr="00AC416D">
        <w:rPr>
          <w:lang w:val="en-US"/>
        </w:rPr>
        <w:t xml:space="preserve">  </w:t>
      </w:r>
    </w:p>
    <w:tbl>
      <w:tblPr>
        <w:tblStyle w:val="TableGrid"/>
        <w:tblW w:w="4081" w:type="dxa"/>
        <w:tblInd w:w="1003" w:type="dxa"/>
        <w:tblCellMar>
          <w:top w:w="92" w:type="dxa"/>
          <w:left w:w="85" w:type="dxa"/>
          <w:bottom w:w="85" w:type="dxa"/>
          <w:right w:w="0" w:type="dxa"/>
        </w:tblCellMar>
        <w:tblLook w:val="04A0" w:firstRow="1" w:lastRow="0" w:firstColumn="1" w:lastColumn="0" w:noHBand="0" w:noVBand="1"/>
      </w:tblPr>
      <w:tblGrid>
        <w:gridCol w:w="2830"/>
        <w:gridCol w:w="1251"/>
      </w:tblGrid>
      <w:tr w:rsidR="008B3241" w14:paraId="56F67618" w14:textId="77777777">
        <w:trPr>
          <w:trHeight w:val="737"/>
        </w:trPr>
        <w:tc>
          <w:tcPr>
            <w:tcW w:w="2830" w:type="dxa"/>
            <w:tcBorders>
              <w:top w:val="single" w:sz="4" w:space="0" w:color="7F7F7F"/>
              <w:left w:val="single" w:sz="4" w:space="0" w:color="7F7F7F"/>
              <w:bottom w:val="single" w:sz="4" w:space="0" w:color="7F7F7F"/>
              <w:right w:val="single" w:sz="4" w:space="0" w:color="7F7F7F"/>
            </w:tcBorders>
            <w:vAlign w:val="bottom"/>
          </w:tcPr>
          <w:p w14:paraId="3A17BE01" w14:textId="77777777" w:rsidR="008B3241" w:rsidRDefault="00AC416D">
            <w:pPr>
              <w:spacing w:after="0" w:line="259" w:lineRule="auto"/>
              <w:ind w:left="0" w:right="154" w:firstLine="0"/>
              <w:jc w:val="center"/>
            </w:pPr>
            <w:proofErr w:type="spellStart"/>
            <w:r>
              <w:t>Substances</w:t>
            </w:r>
            <w:proofErr w:type="spellEnd"/>
            <w:r>
              <w:t xml:space="preserve"> </w:t>
            </w:r>
          </w:p>
        </w:tc>
        <w:tc>
          <w:tcPr>
            <w:tcW w:w="1251" w:type="dxa"/>
            <w:tcBorders>
              <w:top w:val="single" w:sz="4" w:space="0" w:color="7F7F7F"/>
              <w:left w:val="single" w:sz="4" w:space="0" w:color="7F7F7F"/>
              <w:bottom w:val="single" w:sz="4" w:space="0" w:color="7F7F7F"/>
              <w:right w:val="single" w:sz="4" w:space="0" w:color="7F7F7F"/>
            </w:tcBorders>
          </w:tcPr>
          <w:p w14:paraId="3BE108AD" w14:textId="77777777" w:rsidR="008B3241" w:rsidRDefault="00AC416D">
            <w:pPr>
              <w:spacing w:after="3" w:line="259" w:lineRule="auto"/>
              <w:ind w:left="35" w:firstLine="0"/>
            </w:pPr>
            <w:r>
              <w:t xml:space="preserve">Analysis %   </w:t>
            </w:r>
          </w:p>
          <w:p w14:paraId="4316A64B" w14:textId="77777777" w:rsidR="008B3241" w:rsidRDefault="00AC416D">
            <w:pPr>
              <w:spacing w:after="0" w:line="259" w:lineRule="auto"/>
              <w:ind w:left="0" w:right="85" w:firstLine="0"/>
              <w:jc w:val="center"/>
            </w:pPr>
            <w:r>
              <w:t xml:space="preserve">*) </w:t>
            </w:r>
          </w:p>
        </w:tc>
      </w:tr>
      <w:tr w:rsidR="008B3241" w14:paraId="4DC3830F"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481D514F" w14:textId="77777777" w:rsidR="008B3241" w:rsidRDefault="00AC416D">
            <w:pPr>
              <w:spacing w:after="0" w:line="259" w:lineRule="auto"/>
              <w:ind w:left="62" w:firstLine="0"/>
              <w:jc w:val="center"/>
            </w:pPr>
            <w:r>
              <w:t xml:space="preserve">  </w:t>
            </w:r>
          </w:p>
        </w:tc>
        <w:tc>
          <w:tcPr>
            <w:tcW w:w="1251" w:type="dxa"/>
            <w:tcBorders>
              <w:top w:val="single" w:sz="4" w:space="0" w:color="7F7F7F"/>
              <w:left w:val="single" w:sz="4" w:space="0" w:color="7F7F7F"/>
              <w:bottom w:val="single" w:sz="4" w:space="0" w:color="7F7F7F"/>
              <w:right w:val="single" w:sz="4" w:space="0" w:color="7F7F7F"/>
            </w:tcBorders>
          </w:tcPr>
          <w:p w14:paraId="27C50E54" w14:textId="77777777" w:rsidR="008B3241" w:rsidRDefault="00AC416D">
            <w:pPr>
              <w:spacing w:after="0" w:line="259" w:lineRule="auto"/>
              <w:ind w:left="66" w:firstLine="0"/>
              <w:jc w:val="center"/>
            </w:pPr>
            <w:r>
              <w:t xml:space="preserve">  </w:t>
            </w:r>
          </w:p>
        </w:tc>
      </w:tr>
      <w:tr w:rsidR="008B3241" w14:paraId="0BD92A76"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6087A86B" w14:textId="77777777" w:rsidR="008B3241" w:rsidRDefault="00AC416D">
            <w:pPr>
              <w:spacing w:after="0" w:line="259" w:lineRule="auto"/>
              <w:ind w:left="0" w:firstLine="0"/>
            </w:pPr>
            <w:r>
              <w:t xml:space="preserve">pH </w:t>
            </w:r>
          </w:p>
        </w:tc>
        <w:tc>
          <w:tcPr>
            <w:tcW w:w="1251" w:type="dxa"/>
            <w:tcBorders>
              <w:top w:val="single" w:sz="4" w:space="0" w:color="7F7F7F"/>
              <w:left w:val="single" w:sz="4" w:space="0" w:color="7F7F7F"/>
              <w:bottom w:val="single" w:sz="4" w:space="0" w:color="7F7F7F"/>
              <w:right w:val="single" w:sz="4" w:space="0" w:color="7F7F7F"/>
            </w:tcBorders>
          </w:tcPr>
          <w:p w14:paraId="4F550622" w14:textId="77777777" w:rsidR="008B3241" w:rsidRDefault="00AC416D">
            <w:pPr>
              <w:spacing w:after="0" w:line="259" w:lineRule="auto"/>
              <w:ind w:left="0" w:right="151" w:firstLine="0"/>
              <w:jc w:val="center"/>
            </w:pPr>
            <w:r>
              <w:t xml:space="preserve">In range </w:t>
            </w:r>
          </w:p>
        </w:tc>
      </w:tr>
      <w:tr w:rsidR="008B3241" w14:paraId="4ACB1056"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253E97C2" w14:textId="77777777" w:rsidR="008B3241" w:rsidRDefault="00AC416D">
            <w:pPr>
              <w:spacing w:after="0" w:line="259" w:lineRule="auto"/>
              <w:ind w:left="0" w:firstLine="0"/>
            </w:pPr>
            <w:proofErr w:type="spellStart"/>
            <w:r>
              <w:t>Temperature</w:t>
            </w:r>
            <w:proofErr w:type="spellEnd"/>
            <w:r>
              <w:t xml:space="preserve"> </w:t>
            </w:r>
          </w:p>
        </w:tc>
        <w:tc>
          <w:tcPr>
            <w:tcW w:w="1251" w:type="dxa"/>
            <w:tcBorders>
              <w:top w:val="single" w:sz="4" w:space="0" w:color="7F7F7F"/>
              <w:left w:val="single" w:sz="4" w:space="0" w:color="7F7F7F"/>
              <w:bottom w:val="single" w:sz="4" w:space="0" w:color="7F7F7F"/>
              <w:right w:val="single" w:sz="4" w:space="0" w:color="7F7F7F"/>
            </w:tcBorders>
          </w:tcPr>
          <w:p w14:paraId="6D50AB5D" w14:textId="77777777" w:rsidR="008B3241" w:rsidRDefault="00AC416D">
            <w:pPr>
              <w:spacing w:after="0" w:line="259" w:lineRule="auto"/>
              <w:ind w:left="0" w:right="149" w:firstLine="0"/>
              <w:jc w:val="center"/>
            </w:pPr>
            <w:r>
              <w:t xml:space="preserve">57 </w:t>
            </w:r>
          </w:p>
        </w:tc>
      </w:tr>
      <w:tr w:rsidR="008B3241" w14:paraId="50053C15"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6B3E8F54" w14:textId="77777777" w:rsidR="008B3241" w:rsidRDefault="00AC416D">
            <w:pPr>
              <w:spacing w:after="0" w:line="259" w:lineRule="auto"/>
              <w:ind w:left="0" w:firstLine="0"/>
            </w:pPr>
            <w:proofErr w:type="spellStart"/>
            <w:r>
              <w:t>Undissolved</w:t>
            </w:r>
            <w:proofErr w:type="spellEnd"/>
            <w:r>
              <w:t xml:space="preserve"> </w:t>
            </w:r>
            <w:proofErr w:type="spellStart"/>
            <w:r>
              <w:t>components</w:t>
            </w:r>
            <w:proofErr w:type="spellEnd"/>
            <w:r>
              <w:t xml:space="preserve"> </w:t>
            </w:r>
          </w:p>
        </w:tc>
        <w:tc>
          <w:tcPr>
            <w:tcW w:w="1251" w:type="dxa"/>
            <w:tcBorders>
              <w:top w:val="single" w:sz="4" w:space="0" w:color="7F7F7F"/>
              <w:left w:val="single" w:sz="4" w:space="0" w:color="7F7F7F"/>
              <w:bottom w:val="single" w:sz="4" w:space="0" w:color="7F7F7F"/>
              <w:right w:val="single" w:sz="4" w:space="0" w:color="7F7F7F"/>
            </w:tcBorders>
          </w:tcPr>
          <w:p w14:paraId="5A0D6C6B" w14:textId="77777777" w:rsidR="008B3241" w:rsidRDefault="00AC416D">
            <w:pPr>
              <w:spacing w:after="0" w:line="259" w:lineRule="auto"/>
              <w:ind w:left="0" w:right="149" w:firstLine="0"/>
              <w:jc w:val="center"/>
            </w:pPr>
            <w:r>
              <w:t xml:space="preserve">40 </w:t>
            </w:r>
          </w:p>
        </w:tc>
      </w:tr>
      <w:tr w:rsidR="008B3241" w14:paraId="4B21D4B7"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73DECB17" w14:textId="77777777" w:rsidR="008B3241" w:rsidRDefault="00AC416D">
            <w:pPr>
              <w:spacing w:after="0" w:line="259" w:lineRule="auto"/>
              <w:ind w:left="0" w:firstLine="0"/>
            </w:pPr>
            <w:proofErr w:type="spellStart"/>
            <w:r>
              <w:t>Sulphate</w:t>
            </w:r>
            <w:proofErr w:type="spellEnd"/>
            <w:r>
              <w:t xml:space="preserve"> </w:t>
            </w:r>
          </w:p>
        </w:tc>
        <w:tc>
          <w:tcPr>
            <w:tcW w:w="1251" w:type="dxa"/>
            <w:tcBorders>
              <w:top w:val="single" w:sz="4" w:space="0" w:color="7F7F7F"/>
              <w:left w:val="single" w:sz="4" w:space="0" w:color="7F7F7F"/>
              <w:bottom w:val="single" w:sz="4" w:space="0" w:color="7F7F7F"/>
              <w:right w:val="single" w:sz="4" w:space="0" w:color="7F7F7F"/>
            </w:tcBorders>
          </w:tcPr>
          <w:p w14:paraId="45222CEA" w14:textId="77777777" w:rsidR="008B3241" w:rsidRDefault="00AC416D">
            <w:pPr>
              <w:spacing w:after="0" w:line="259" w:lineRule="auto"/>
              <w:ind w:left="0" w:right="152" w:firstLine="0"/>
              <w:jc w:val="center"/>
            </w:pPr>
            <w:r>
              <w:t xml:space="preserve">5,7 </w:t>
            </w:r>
          </w:p>
        </w:tc>
      </w:tr>
      <w:tr w:rsidR="008B3241" w14:paraId="1CE774D9"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6BEA43CC" w14:textId="77777777" w:rsidR="008B3241" w:rsidRPr="00AC416D" w:rsidRDefault="00AC416D">
            <w:pPr>
              <w:spacing w:after="0" w:line="259" w:lineRule="auto"/>
              <w:ind w:left="0" w:firstLine="0"/>
              <w:rPr>
                <w:lang w:val="fr-FR"/>
              </w:rPr>
            </w:pPr>
            <w:proofErr w:type="spellStart"/>
            <w:r w:rsidRPr="00AC416D">
              <w:rPr>
                <w:lang w:val="fr-FR"/>
              </w:rPr>
              <w:t>Sum</w:t>
            </w:r>
            <w:proofErr w:type="spellEnd"/>
            <w:r w:rsidRPr="00AC416D">
              <w:rPr>
                <w:lang w:val="fr-FR"/>
              </w:rPr>
              <w:t xml:space="preserve"> Cr, Cu, Ni, Pb, Zn </w:t>
            </w:r>
          </w:p>
        </w:tc>
        <w:tc>
          <w:tcPr>
            <w:tcW w:w="1251" w:type="dxa"/>
            <w:tcBorders>
              <w:top w:val="single" w:sz="4" w:space="0" w:color="7F7F7F"/>
              <w:left w:val="single" w:sz="4" w:space="0" w:color="7F7F7F"/>
              <w:bottom w:val="single" w:sz="4" w:space="0" w:color="7F7F7F"/>
              <w:right w:val="single" w:sz="4" w:space="0" w:color="7F7F7F"/>
            </w:tcBorders>
          </w:tcPr>
          <w:p w14:paraId="1537E8B7" w14:textId="77777777" w:rsidR="008B3241" w:rsidRDefault="00AC416D">
            <w:pPr>
              <w:spacing w:after="0" w:line="259" w:lineRule="auto"/>
              <w:ind w:left="0" w:right="152" w:firstLine="0"/>
              <w:jc w:val="center"/>
            </w:pPr>
            <w:r>
              <w:t xml:space="preserve">5,4 </w:t>
            </w:r>
          </w:p>
        </w:tc>
      </w:tr>
      <w:tr w:rsidR="008B3241" w14:paraId="121E8E57"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767A5D6E" w14:textId="77777777" w:rsidR="008B3241" w:rsidRDefault="00AC416D">
            <w:pPr>
              <w:spacing w:after="0" w:line="259" w:lineRule="auto"/>
              <w:ind w:left="0" w:firstLine="0"/>
            </w:pPr>
            <w:proofErr w:type="spellStart"/>
            <w:r>
              <w:t>Mineral</w:t>
            </w:r>
            <w:proofErr w:type="spellEnd"/>
            <w:r>
              <w:t xml:space="preserve"> </w:t>
            </w:r>
            <w:proofErr w:type="spellStart"/>
            <w:r>
              <w:t>oil</w:t>
            </w:r>
            <w:proofErr w:type="spellEnd"/>
            <w:r>
              <w:t xml:space="preserve"> </w:t>
            </w:r>
          </w:p>
        </w:tc>
        <w:tc>
          <w:tcPr>
            <w:tcW w:w="1251" w:type="dxa"/>
            <w:tcBorders>
              <w:top w:val="single" w:sz="4" w:space="0" w:color="7F7F7F"/>
              <w:left w:val="single" w:sz="4" w:space="0" w:color="7F7F7F"/>
              <w:bottom w:val="single" w:sz="4" w:space="0" w:color="7F7F7F"/>
              <w:right w:val="single" w:sz="4" w:space="0" w:color="7F7F7F"/>
            </w:tcBorders>
          </w:tcPr>
          <w:p w14:paraId="4F5F326E" w14:textId="77777777" w:rsidR="008B3241" w:rsidRDefault="00AC416D">
            <w:pPr>
              <w:spacing w:after="0" w:line="259" w:lineRule="auto"/>
              <w:ind w:left="0" w:right="152" w:firstLine="0"/>
              <w:jc w:val="center"/>
            </w:pPr>
            <w:r>
              <w:t xml:space="preserve">0,8 </w:t>
            </w:r>
          </w:p>
        </w:tc>
      </w:tr>
      <w:tr w:rsidR="008B3241" w14:paraId="7669A9F0"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3947540E" w14:textId="77777777" w:rsidR="008B3241" w:rsidRDefault="00AC416D">
            <w:pPr>
              <w:spacing w:after="0" w:line="259" w:lineRule="auto"/>
              <w:ind w:left="0" w:firstLine="0"/>
            </w:pPr>
            <w:r>
              <w:t xml:space="preserve">BTEX </w:t>
            </w:r>
          </w:p>
        </w:tc>
        <w:tc>
          <w:tcPr>
            <w:tcW w:w="1251" w:type="dxa"/>
            <w:tcBorders>
              <w:top w:val="single" w:sz="4" w:space="0" w:color="7F7F7F"/>
              <w:left w:val="single" w:sz="4" w:space="0" w:color="7F7F7F"/>
              <w:bottom w:val="single" w:sz="4" w:space="0" w:color="7F7F7F"/>
              <w:right w:val="single" w:sz="4" w:space="0" w:color="7F7F7F"/>
            </w:tcBorders>
          </w:tcPr>
          <w:p w14:paraId="00707CA0" w14:textId="77777777" w:rsidR="008B3241" w:rsidRDefault="00AC416D">
            <w:pPr>
              <w:spacing w:after="0" w:line="259" w:lineRule="auto"/>
              <w:ind w:left="0" w:right="149" w:firstLine="0"/>
              <w:jc w:val="center"/>
            </w:pPr>
            <w:r>
              <w:t xml:space="preserve">&lt; 0,2 </w:t>
            </w:r>
          </w:p>
        </w:tc>
      </w:tr>
      <w:tr w:rsidR="008B3241" w14:paraId="419C3D2F" w14:textId="77777777">
        <w:trPr>
          <w:trHeight w:val="417"/>
        </w:trPr>
        <w:tc>
          <w:tcPr>
            <w:tcW w:w="2830" w:type="dxa"/>
            <w:tcBorders>
              <w:top w:val="single" w:sz="4" w:space="0" w:color="7F7F7F"/>
              <w:left w:val="single" w:sz="4" w:space="0" w:color="7F7F7F"/>
              <w:bottom w:val="single" w:sz="4" w:space="0" w:color="7F7F7F"/>
              <w:right w:val="single" w:sz="4" w:space="0" w:color="7F7F7F"/>
            </w:tcBorders>
          </w:tcPr>
          <w:p w14:paraId="4EA955A6" w14:textId="77777777" w:rsidR="008B3241" w:rsidRDefault="00AC416D">
            <w:pPr>
              <w:spacing w:after="0" w:line="259" w:lineRule="auto"/>
              <w:ind w:left="0" w:firstLine="0"/>
            </w:pPr>
            <w:r>
              <w:t xml:space="preserve">PAK (16 EPA) </w:t>
            </w:r>
          </w:p>
        </w:tc>
        <w:tc>
          <w:tcPr>
            <w:tcW w:w="1251" w:type="dxa"/>
            <w:tcBorders>
              <w:top w:val="single" w:sz="4" w:space="0" w:color="7F7F7F"/>
              <w:left w:val="single" w:sz="4" w:space="0" w:color="7F7F7F"/>
              <w:bottom w:val="single" w:sz="4" w:space="0" w:color="7F7F7F"/>
              <w:right w:val="single" w:sz="4" w:space="0" w:color="7F7F7F"/>
            </w:tcBorders>
          </w:tcPr>
          <w:p w14:paraId="51479141" w14:textId="77777777" w:rsidR="008B3241" w:rsidRDefault="00AC416D">
            <w:pPr>
              <w:spacing w:after="0" w:line="259" w:lineRule="auto"/>
              <w:ind w:left="0" w:right="149" w:firstLine="0"/>
              <w:jc w:val="center"/>
            </w:pPr>
            <w:r>
              <w:t xml:space="preserve">&lt; 1 </w:t>
            </w:r>
          </w:p>
        </w:tc>
      </w:tr>
    </w:tbl>
    <w:p w14:paraId="21E4145C" w14:textId="77777777" w:rsidR="008B3241" w:rsidRDefault="00AC416D">
      <w:pPr>
        <w:spacing w:after="204" w:line="259" w:lineRule="auto"/>
        <w:ind w:left="998" w:firstLine="0"/>
      </w:pPr>
      <w:r>
        <w:t xml:space="preserve"> </w:t>
      </w:r>
      <w:r>
        <w:tab/>
        <w:t xml:space="preserve">  </w:t>
      </w:r>
    </w:p>
    <w:p w14:paraId="45EDD08F" w14:textId="77777777" w:rsidR="008B3241" w:rsidRPr="00AC416D" w:rsidRDefault="00AC416D">
      <w:pPr>
        <w:spacing w:after="19" w:line="435" w:lineRule="auto"/>
        <w:ind w:left="359" w:right="1550" w:firstLine="709"/>
        <w:rPr>
          <w:lang w:val="en-US"/>
        </w:rPr>
      </w:pPr>
      <w:r w:rsidRPr="00AC416D">
        <w:rPr>
          <w:lang w:val="en-US"/>
        </w:rPr>
        <w:t xml:space="preserve">*) Measured quantity as % of the maximum allowed quantity   according to environmental permit (competent authority)  </w:t>
      </w:r>
      <w:r w:rsidRPr="00AC416D">
        <w:rPr>
          <w:lang w:val="en-US"/>
        </w:rPr>
        <w:t>-</w:t>
      </w:r>
      <w:r w:rsidRPr="00AC416D">
        <w:rPr>
          <w:lang w:val="en-US"/>
        </w:rPr>
        <w:tab/>
      </w:r>
      <w:r w:rsidRPr="00AC416D">
        <w:rPr>
          <w:u w:val="single" w:color="000000"/>
          <w:lang w:val="en-US"/>
        </w:rPr>
        <w:t>Total quantity of waste-water (sewer) 2022:</w:t>
      </w:r>
      <w:r w:rsidRPr="00AC416D">
        <w:rPr>
          <w:lang w:val="en-US"/>
        </w:rPr>
        <w:t xml:space="preserve">  </w:t>
      </w:r>
    </w:p>
    <w:p w14:paraId="4F66CE32" w14:textId="77777777" w:rsidR="008B3241" w:rsidRPr="00AC416D" w:rsidRDefault="00AC416D">
      <w:pPr>
        <w:spacing w:after="737"/>
        <w:ind w:left="1078"/>
        <w:rPr>
          <w:lang w:val="en-US"/>
        </w:rPr>
      </w:pPr>
      <w:r w:rsidRPr="00AC416D">
        <w:rPr>
          <w:lang w:val="en-US"/>
        </w:rPr>
        <w:t xml:space="preserve">12.049 m3  </w:t>
      </w:r>
    </w:p>
    <w:p w14:paraId="3601429C" w14:textId="77777777" w:rsidR="008B3241" w:rsidRPr="00AC416D" w:rsidRDefault="00AC416D">
      <w:pPr>
        <w:spacing w:after="0" w:line="259" w:lineRule="auto"/>
        <w:ind w:left="0" w:firstLine="0"/>
        <w:rPr>
          <w:lang w:val="en-US"/>
        </w:rPr>
      </w:pPr>
      <w:r w:rsidRPr="00AC416D">
        <w:rPr>
          <w:lang w:val="en-US"/>
        </w:rPr>
        <w:lastRenderedPageBreak/>
        <w:t xml:space="preserve"> </w:t>
      </w:r>
    </w:p>
    <w:p w14:paraId="69652A78" w14:textId="77777777" w:rsidR="008B3241" w:rsidRPr="00AC416D" w:rsidRDefault="00AC416D">
      <w:pPr>
        <w:pStyle w:val="Kop1"/>
        <w:ind w:left="-1" w:right="1952"/>
        <w:rPr>
          <w:lang w:val="en-US"/>
        </w:rPr>
      </w:pPr>
      <w:bookmarkStart w:id="12" w:name="_Toc11299"/>
      <w:r w:rsidRPr="00AC416D">
        <w:rPr>
          <w:u w:val="none"/>
          <w:lang w:val="en-US"/>
        </w:rPr>
        <w:t xml:space="preserve">13. </w:t>
      </w:r>
      <w:r w:rsidRPr="00AC416D">
        <w:rPr>
          <w:lang w:val="en-US"/>
        </w:rPr>
        <w:t>Public disclosure of Spills and Leakages</w:t>
      </w:r>
      <w:r w:rsidRPr="00AC416D">
        <w:rPr>
          <w:u w:val="none"/>
          <w:lang w:val="en-US"/>
        </w:rPr>
        <w:t xml:space="preserve"> </w:t>
      </w:r>
      <w:bookmarkEnd w:id="12"/>
    </w:p>
    <w:p w14:paraId="691B2897" w14:textId="77777777" w:rsidR="008B3241" w:rsidRPr="00AC416D" w:rsidRDefault="00AC416D">
      <w:pPr>
        <w:ind w:left="10"/>
        <w:rPr>
          <w:lang w:val="en-US"/>
        </w:rPr>
      </w:pPr>
      <w:r w:rsidRPr="00AC416D">
        <w:rPr>
          <w:lang w:val="en-US"/>
        </w:rPr>
        <w:t>The measures and safety instructions against spills and leakages are part of the “</w:t>
      </w:r>
      <w:proofErr w:type="spellStart"/>
      <w:r w:rsidRPr="00AC416D">
        <w:rPr>
          <w:lang w:val="en-US"/>
        </w:rPr>
        <w:t>Emergencyplan</w:t>
      </w:r>
      <w:proofErr w:type="spellEnd"/>
      <w:r w:rsidRPr="00AC416D">
        <w:rPr>
          <w:lang w:val="en-US"/>
        </w:rPr>
        <w:t xml:space="preserve"> Nedal”.  </w:t>
      </w:r>
    </w:p>
    <w:p w14:paraId="51F11161" w14:textId="77777777" w:rsidR="008B3241" w:rsidRPr="00AC416D" w:rsidRDefault="00AC416D">
      <w:pPr>
        <w:ind w:left="10"/>
        <w:rPr>
          <w:lang w:val="en-US"/>
        </w:rPr>
      </w:pPr>
      <w:r w:rsidRPr="00AC416D">
        <w:rPr>
          <w:lang w:val="en-US"/>
        </w:rPr>
        <w:t xml:space="preserve">Adequate prevention-measures have been taken:  </w:t>
      </w:r>
    </w:p>
    <w:p w14:paraId="28349EFD" w14:textId="77777777" w:rsidR="008B3241" w:rsidRPr="00AC416D" w:rsidRDefault="00AC416D">
      <w:pPr>
        <w:numPr>
          <w:ilvl w:val="0"/>
          <w:numId w:val="4"/>
        </w:numPr>
        <w:ind w:hanging="360"/>
        <w:rPr>
          <w:lang w:val="en-US"/>
        </w:rPr>
      </w:pPr>
      <w:r w:rsidRPr="00AC416D">
        <w:rPr>
          <w:lang w:val="en-US"/>
        </w:rPr>
        <w:t xml:space="preserve">Maintenance of extrusion presses and other equipment.  </w:t>
      </w:r>
    </w:p>
    <w:p w14:paraId="05C42735" w14:textId="77777777" w:rsidR="008B3241" w:rsidRDefault="00AC416D">
      <w:pPr>
        <w:numPr>
          <w:ilvl w:val="0"/>
          <w:numId w:val="4"/>
        </w:numPr>
        <w:ind w:hanging="360"/>
      </w:pPr>
      <w:r>
        <w:t xml:space="preserve">Liquid </w:t>
      </w:r>
      <w:proofErr w:type="spellStart"/>
      <w:r>
        <w:t>tight</w:t>
      </w:r>
      <w:proofErr w:type="spellEnd"/>
      <w:r>
        <w:t xml:space="preserve"> </w:t>
      </w:r>
      <w:proofErr w:type="spellStart"/>
      <w:r>
        <w:t>floors</w:t>
      </w:r>
      <w:proofErr w:type="spellEnd"/>
      <w:r>
        <w:t xml:space="preserve">.  </w:t>
      </w:r>
    </w:p>
    <w:p w14:paraId="5120C0D1" w14:textId="77777777" w:rsidR="008B3241" w:rsidRPr="00AC416D" w:rsidRDefault="00AC416D">
      <w:pPr>
        <w:numPr>
          <w:ilvl w:val="0"/>
          <w:numId w:val="4"/>
        </w:numPr>
        <w:ind w:hanging="360"/>
        <w:rPr>
          <w:lang w:val="en-US"/>
        </w:rPr>
      </w:pPr>
      <w:r w:rsidRPr="00AC416D">
        <w:rPr>
          <w:lang w:val="en-US"/>
        </w:rPr>
        <w:t xml:space="preserve">Instructions for the employee’s, how to react in case of spills and leakages.  </w:t>
      </w:r>
    </w:p>
    <w:p w14:paraId="70920457" w14:textId="77777777" w:rsidR="008B3241" w:rsidRPr="00AC416D" w:rsidRDefault="00AC416D">
      <w:pPr>
        <w:ind w:left="10"/>
        <w:rPr>
          <w:lang w:val="en-US"/>
        </w:rPr>
      </w:pPr>
      <w:r w:rsidRPr="00AC416D">
        <w:rPr>
          <w:lang w:val="en-US"/>
        </w:rPr>
        <w:t xml:space="preserve">In the past year, no spills or leakages, with impact on people or environment, did occur.  </w:t>
      </w:r>
    </w:p>
    <w:p w14:paraId="2CBD6575" w14:textId="77777777" w:rsidR="008B3241" w:rsidRPr="00AC416D" w:rsidRDefault="00AC416D">
      <w:pPr>
        <w:ind w:left="10"/>
        <w:rPr>
          <w:lang w:val="en-US"/>
        </w:rPr>
      </w:pPr>
      <w:r w:rsidRPr="00AC416D">
        <w:rPr>
          <w:lang w:val="en-US"/>
        </w:rPr>
        <w:t>Information about the “</w:t>
      </w:r>
      <w:proofErr w:type="spellStart"/>
      <w:r w:rsidRPr="00AC416D">
        <w:rPr>
          <w:lang w:val="en-US"/>
        </w:rPr>
        <w:t>Emergencyplan</w:t>
      </w:r>
      <w:proofErr w:type="spellEnd"/>
      <w:r w:rsidRPr="00AC416D">
        <w:rPr>
          <w:lang w:val="en-US"/>
        </w:rPr>
        <w:t xml:space="preserve"> Nedal” can be obtained:  </w:t>
      </w:r>
    </w:p>
    <w:p w14:paraId="78EA0A0C" w14:textId="77777777" w:rsidR="008B3241" w:rsidRPr="00AC416D" w:rsidRDefault="00AC416D">
      <w:pPr>
        <w:numPr>
          <w:ilvl w:val="0"/>
          <w:numId w:val="4"/>
        </w:numPr>
        <w:ind w:hanging="360"/>
        <w:rPr>
          <w:lang w:val="en-US"/>
        </w:rPr>
      </w:pPr>
      <w:r w:rsidRPr="00AC416D">
        <w:rPr>
          <w:lang w:val="en-US"/>
        </w:rPr>
        <w:t xml:space="preserve">Manager Company Emergency Service: </w:t>
      </w:r>
      <w:r w:rsidRPr="00AC416D">
        <w:rPr>
          <w:color w:val="0000FF"/>
          <w:u w:val="single" w:color="0000FF"/>
          <w:lang w:val="en-US"/>
        </w:rPr>
        <w:t>woutervandokkum@nedal.nl</w:t>
      </w:r>
      <w:r w:rsidRPr="00AC416D">
        <w:rPr>
          <w:lang w:val="en-US"/>
        </w:rPr>
        <w:t xml:space="preserve">  </w:t>
      </w:r>
    </w:p>
    <w:p w14:paraId="459078AD" w14:textId="77777777" w:rsidR="008B3241" w:rsidRDefault="00AC416D">
      <w:pPr>
        <w:numPr>
          <w:ilvl w:val="0"/>
          <w:numId w:val="4"/>
        </w:numPr>
        <w:spacing w:after="593" w:line="443" w:lineRule="auto"/>
        <w:ind w:hanging="360"/>
      </w:pPr>
      <w:r>
        <w:t xml:space="preserve">Safety </w:t>
      </w:r>
      <w:proofErr w:type="spellStart"/>
      <w:r>
        <w:t>Officer</w:t>
      </w:r>
      <w:proofErr w:type="spellEnd"/>
      <w:r>
        <w:t xml:space="preserve">: </w:t>
      </w:r>
      <w:r>
        <w:rPr>
          <w:color w:val="0463C1"/>
          <w:u w:val="single" w:color="0463C1"/>
        </w:rPr>
        <w:t>deanhoedeman@nedal.nl</w:t>
      </w:r>
      <w:r>
        <w:t xml:space="preserve">  </w:t>
      </w:r>
    </w:p>
    <w:p w14:paraId="52726AAD" w14:textId="77777777" w:rsidR="008B3241" w:rsidRDefault="00AC416D">
      <w:pPr>
        <w:pStyle w:val="Kop1"/>
        <w:spacing w:after="0"/>
        <w:ind w:left="71" w:right="3979" w:hanging="72"/>
      </w:pPr>
      <w:bookmarkStart w:id="13" w:name="_Toc11300"/>
      <w:r>
        <w:rPr>
          <w:u w:val="none"/>
        </w:rPr>
        <w:t>14.</w:t>
      </w:r>
      <w:r>
        <w:rPr>
          <w:b w:val="0"/>
          <w:u w:val="none"/>
        </w:rPr>
        <w:t xml:space="preserve"> </w:t>
      </w:r>
      <w:r>
        <w:t xml:space="preserve">Waste Management </w:t>
      </w:r>
      <w:proofErr w:type="spellStart"/>
      <w:r>
        <w:t>and</w:t>
      </w:r>
      <w:proofErr w:type="spellEnd"/>
      <w:r>
        <w:t xml:space="preserve"> Reporting</w:t>
      </w:r>
      <w:r>
        <w:rPr>
          <w:b w:val="0"/>
          <w:u w:val="none"/>
        </w:rPr>
        <w:t xml:space="preserve"> </w:t>
      </w:r>
      <w:bookmarkEnd w:id="13"/>
    </w:p>
    <w:p w14:paraId="0A7342EC" w14:textId="77777777" w:rsidR="008B3241" w:rsidRDefault="00AC416D">
      <w:pPr>
        <w:spacing w:after="0" w:line="259" w:lineRule="auto"/>
        <w:ind w:left="71" w:right="3979" w:hanging="72"/>
      </w:pPr>
      <w:r>
        <w:t xml:space="preserve">Waste management 2022.  </w:t>
      </w:r>
    </w:p>
    <w:tbl>
      <w:tblPr>
        <w:tblStyle w:val="TableGrid"/>
        <w:tblW w:w="8988" w:type="dxa"/>
        <w:tblInd w:w="5" w:type="dxa"/>
        <w:tblCellMar>
          <w:top w:w="92" w:type="dxa"/>
          <w:left w:w="85" w:type="dxa"/>
          <w:bottom w:w="0" w:type="dxa"/>
          <w:right w:w="31" w:type="dxa"/>
        </w:tblCellMar>
        <w:tblLook w:val="04A0" w:firstRow="1" w:lastRow="0" w:firstColumn="1" w:lastColumn="0" w:noHBand="0" w:noVBand="1"/>
      </w:tblPr>
      <w:tblGrid>
        <w:gridCol w:w="6571"/>
        <w:gridCol w:w="2417"/>
      </w:tblGrid>
      <w:tr w:rsidR="008B3241" w14:paraId="4653076D" w14:textId="77777777">
        <w:trPr>
          <w:trHeight w:val="497"/>
        </w:trPr>
        <w:tc>
          <w:tcPr>
            <w:tcW w:w="6571" w:type="dxa"/>
            <w:tcBorders>
              <w:top w:val="single" w:sz="4" w:space="0" w:color="7F7F7F"/>
              <w:left w:val="single" w:sz="4" w:space="0" w:color="7F7F7F"/>
              <w:bottom w:val="single" w:sz="4" w:space="0" w:color="7F7F7F"/>
              <w:right w:val="single" w:sz="4" w:space="0" w:color="7F7F7F"/>
            </w:tcBorders>
          </w:tcPr>
          <w:p w14:paraId="02DB0392" w14:textId="77777777" w:rsidR="008B3241" w:rsidRDefault="00AC416D">
            <w:pPr>
              <w:spacing w:after="0" w:line="259" w:lineRule="auto"/>
              <w:ind w:left="2" w:firstLine="0"/>
            </w:pPr>
            <w:proofErr w:type="spellStart"/>
            <w:r>
              <w:rPr>
                <w:b/>
              </w:rPr>
              <w:t>Category</w:t>
            </w:r>
            <w:proofErr w:type="spellEnd"/>
            <w:r>
              <w:rPr>
                <w:b/>
              </w:rPr>
              <w:t xml:space="preserve"> </w:t>
            </w:r>
          </w:p>
        </w:tc>
        <w:tc>
          <w:tcPr>
            <w:tcW w:w="2417" w:type="dxa"/>
            <w:tcBorders>
              <w:top w:val="single" w:sz="4" w:space="0" w:color="7F7F7F"/>
              <w:left w:val="single" w:sz="4" w:space="0" w:color="7F7F7F"/>
              <w:bottom w:val="single" w:sz="4" w:space="0" w:color="7F7F7F"/>
              <w:right w:val="single" w:sz="4" w:space="0" w:color="7F7F7F"/>
            </w:tcBorders>
          </w:tcPr>
          <w:p w14:paraId="2724B57B" w14:textId="77777777" w:rsidR="008B3241" w:rsidRDefault="00AC416D">
            <w:pPr>
              <w:spacing w:after="0" w:line="259" w:lineRule="auto"/>
              <w:ind w:left="0" w:firstLine="0"/>
            </w:pPr>
            <w:proofErr w:type="spellStart"/>
            <w:r>
              <w:rPr>
                <w:b/>
              </w:rPr>
              <w:t>Weight</w:t>
            </w:r>
            <w:proofErr w:type="spellEnd"/>
            <w:r>
              <w:rPr>
                <w:b/>
              </w:rPr>
              <w:t xml:space="preserve"> (kg) </w:t>
            </w:r>
          </w:p>
        </w:tc>
      </w:tr>
      <w:tr w:rsidR="008B3241" w14:paraId="18C751FA" w14:textId="77777777">
        <w:trPr>
          <w:trHeight w:val="498"/>
        </w:trPr>
        <w:tc>
          <w:tcPr>
            <w:tcW w:w="6571" w:type="dxa"/>
            <w:tcBorders>
              <w:top w:val="single" w:sz="4" w:space="0" w:color="7F7F7F"/>
              <w:left w:val="single" w:sz="4" w:space="0" w:color="7F7F7F"/>
              <w:bottom w:val="single" w:sz="4" w:space="0" w:color="7F7F7F"/>
              <w:right w:val="single" w:sz="4" w:space="0" w:color="7F7F7F"/>
            </w:tcBorders>
          </w:tcPr>
          <w:p w14:paraId="7A50C5F9" w14:textId="77777777" w:rsidR="008B3241" w:rsidRDefault="00AC416D">
            <w:pPr>
              <w:spacing w:after="0" w:line="259" w:lineRule="auto"/>
              <w:ind w:left="2" w:firstLine="0"/>
            </w:pPr>
            <w:r>
              <w:t>Paper/Cardboard/Wood/</w:t>
            </w:r>
            <w:proofErr w:type="spellStart"/>
            <w:r>
              <w:t>PlasUc</w:t>
            </w:r>
            <w:proofErr w:type="spellEnd"/>
            <w:r>
              <w:t xml:space="preserve"> </w:t>
            </w:r>
          </w:p>
        </w:tc>
        <w:tc>
          <w:tcPr>
            <w:tcW w:w="2417" w:type="dxa"/>
            <w:tcBorders>
              <w:top w:val="single" w:sz="4" w:space="0" w:color="7F7F7F"/>
              <w:left w:val="single" w:sz="4" w:space="0" w:color="7F7F7F"/>
              <w:bottom w:val="single" w:sz="4" w:space="0" w:color="7F7F7F"/>
              <w:right w:val="single" w:sz="4" w:space="0" w:color="7F7F7F"/>
            </w:tcBorders>
          </w:tcPr>
          <w:p w14:paraId="07C7D872" w14:textId="77777777" w:rsidR="008B3241" w:rsidRDefault="00AC416D">
            <w:pPr>
              <w:spacing w:after="0" w:line="259" w:lineRule="auto"/>
              <w:ind w:left="0" w:right="107" w:firstLine="0"/>
              <w:jc w:val="right"/>
            </w:pPr>
            <w:r>
              <w:t xml:space="preserve">167.140 </w:t>
            </w:r>
          </w:p>
        </w:tc>
      </w:tr>
      <w:tr w:rsidR="008B3241" w14:paraId="18A70E49" w14:textId="77777777">
        <w:trPr>
          <w:trHeight w:val="495"/>
        </w:trPr>
        <w:tc>
          <w:tcPr>
            <w:tcW w:w="6571" w:type="dxa"/>
            <w:tcBorders>
              <w:top w:val="single" w:sz="4" w:space="0" w:color="7F7F7F"/>
              <w:left w:val="single" w:sz="4" w:space="0" w:color="7F7F7F"/>
              <w:bottom w:val="single" w:sz="4" w:space="0" w:color="7F7F7F"/>
              <w:right w:val="single" w:sz="4" w:space="0" w:color="7F7F7F"/>
            </w:tcBorders>
          </w:tcPr>
          <w:p w14:paraId="31A09F04" w14:textId="77777777" w:rsidR="008B3241" w:rsidRDefault="00AC416D">
            <w:pPr>
              <w:spacing w:after="0" w:line="259" w:lineRule="auto"/>
              <w:ind w:left="2" w:firstLine="0"/>
            </w:pPr>
            <w:r>
              <w:t xml:space="preserve">Aluminium </w:t>
            </w:r>
            <w:proofErr w:type="spellStart"/>
            <w:r>
              <w:t>saw</w:t>
            </w:r>
            <w:proofErr w:type="spellEnd"/>
            <w:r>
              <w:t xml:space="preserve">-chips </w:t>
            </w:r>
          </w:p>
        </w:tc>
        <w:tc>
          <w:tcPr>
            <w:tcW w:w="2417" w:type="dxa"/>
            <w:tcBorders>
              <w:top w:val="single" w:sz="4" w:space="0" w:color="7F7F7F"/>
              <w:left w:val="single" w:sz="4" w:space="0" w:color="7F7F7F"/>
              <w:bottom w:val="single" w:sz="4" w:space="0" w:color="7F7F7F"/>
              <w:right w:val="single" w:sz="4" w:space="0" w:color="7F7F7F"/>
            </w:tcBorders>
          </w:tcPr>
          <w:p w14:paraId="7A0122F5" w14:textId="77777777" w:rsidR="008B3241" w:rsidRDefault="00AC416D">
            <w:pPr>
              <w:spacing w:after="0" w:line="259" w:lineRule="auto"/>
              <w:ind w:left="0" w:right="107" w:firstLine="0"/>
              <w:jc w:val="right"/>
            </w:pPr>
            <w:r>
              <w:t xml:space="preserve">68.937 </w:t>
            </w:r>
          </w:p>
        </w:tc>
      </w:tr>
      <w:tr w:rsidR="008B3241" w14:paraId="00F0C1BB" w14:textId="77777777">
        <w:trPr>
          <w:trHeight w:val="497"/>
        </w:trPr>
        <w:tc>
          <w:tcPr>
            <w:tcW w:w="6571" w:type="dxa"/>
            <w:tcBorders>
              <w:top w:val="single" w:sz="4" w:space="0" w:color="7F7F7F"/>
              <w:left w:val="single" w:sz="4" w:space="0" w:color="7F7F7F"/>
              <w:bottom w:val="single" w:sz="4" w:space="0" w:color="7F7F7F"/>
              <w:right w:val="single" w:sz="4" w:space="0" w:color="7F7F7F"/>
            </w:tcBorders>
          </w:tcPr>
          <w:p w14:paraId="5BDBD4F8" w14:textId="77777777" w:rsidR="008B3241" w:rsidRDefault="00AC416D">
            <w:pPr>
              <w:spacing w:after="0" w:line="259" w:lineRule="auto"/>
              <w:ind w:left="2" w:firstLine="0"/>
            </w:pPr>
            <w:proofErr w:type="spellStart"/>
            <w:r>
              <w:t>Residual</w:t>
            </w:r>
            <w:proofErr w:type="spellEnd"/>
            <w:r>
              <w:t xml:space="preserve"> Waste </w:t>
            </w:r>
          </w:p>
        </w:tc>
        <w:tc>
          <w:tcPr>
            <w:tcW w:w="2417" w:type="dxa"/>
            <w:tcBorders>
              <w:top w:val="single" w:sz="4" w:space="0" w:color="7F7F7F"/>
              <w:left w:val="single" w:sz="4" w:space="0" w:color="7F7F7F"/>
              <w:bottom w:val="single" w:sz="4" w:space="0" w:color="7F7F7F"/>
              <w:right w:val="single" w:sz="4" w:space="0" w:color="7F7F7F"/>
            </w:tcBorders>
          </w:tcPr>
          <w:p w14:paraId="1B860EC1" w14:textId="77777777" w:rsidR="008B3241" w:rsidRDefault="00AC416D">
            <w:pPr>
              <w:spacing w:after="0" w:line="259" w:lineRule="auto"/>
              <w:ind w:left="0" w:right="107" w:firstLine="0"/>
              <w:jc w:val="right"/>
            </w:pPr>
            <w:r>
              <w:t xml:space="preserve">200.927 </w:t>
            </w:r>
          </w:p>
        </w:tc>
      </w:tr>
      <w:tr w:rsidR="008B3241" w14:paraId="3E7E8BE6" w14:textId="77777777">
        <w:trPr>
          <w:trHeight w:val="495"/>
        </w:trPr>
        <w:tc>
          <w:tcPr>
            <w:tcW w:w="6571" w:type="dxa"/>
            <w:tcBorders>
              <w:top w:val="single" w:sz="4" w:space="0" w:color="7F7F7F"/>
              <w:left w:val="single" w:sz="4" w:space="0" w:color="7F7F7F"/>
              <w:bottom w:val="single" w:sz="4" w:space="0" w:color="7F7F7F"/>
              <w:right w:val="single" w:sz="4" w:space="0" w:color="7F7F7F"/>
            </w:tcBorders>
          </w:tcPr>
          <w:p w14:paraId="2F44DE94" w14:textId="77777777" w:rsidR="008B3241" w:rsidRDefault="00AC416D">
            <w:pPr>
              <w:spacing w:after="0" w:line="259" w:lineRule="auto"/>
              <w:ind w:left="2" w:firstLine="0"/>
            </w:pPr>
            <w:proofErr w:type="spellStart"/>
            <w:r>
              <w:t>ConstrucUon</w:t>
            </w:r>
            <w:proofErr w:type="spellEnd"/>
            <w:r>
              <w:t>./</w:t>
            </w:r>
            <w:proofErr w:type="spellStart"/>
            <w:r>
              <w:t>DemoliUon</w:t>
            </w:r>
            <w:proofErr w:type="spellEnd"/>
            <w:r>
              <w:t xml:space="preserve"> </w:t>
            </w:r>
          </w:p>
        </w:tc>
        <w:tc>
          <w:tcPr>
            <w:tcW w:w="2417" w:type="dxa"/>
            <w:tcBorders>
              <w:top w:val="single" w:sz="4" w:space="0" w:color="7F7F7F"/>
              <w:left w:val="single" w:sz="4" w:space="0" w:color="7F7F7F"/>
              <w:bottom w:val="single" w:sz="4" w:space="0" w:color="7F7F7F"/>
              <w:right w:val="single" w:sz="4" w:space="0" w:color="7F7F7F"/>
            </w:tcBorders>
          </w:tcPr>
          <w:p w14:paraId="001B9DBA" w14:textId="77777777" w:rsidR="008B3241" w:rsidRDefault="00AC416D">
            <w:pPr>
              <w:spacing w:after="0" w:line="259" w:lineRule="auto"/>
              <w:ind w:left="0" w:right="108" w:firstLine="0"/>
              <w:jc w:val="right"/>
            </w:pPr>
            <w:r>
              <w:t xml:space="preserve">7.820 </w:t>
            </w:r>
          </w:p>
        </w:tc>
      </w:tr>
      <w:tr w:rsidR="008B3241" w14:paraId="21DC9B60" w14:textId="77777777">
        <w:trPr>
          <w:trHeight w:val="497"/>
        </w:trPr>
        <w:tc>
          <w:tcPr>
            <w:tcW w:w="6571" w:type="dxa"/>
            <w:tcBorders>
              <w:top w:val="single" w:sz="4" w:space="0" w:color="7F7F7F"/>
              <w:left w:val="single" w:sz="4" w:space="0" w:color="7F7F7F"/>
              <w:bottom w:val="single" w:sz="4" w:space="0" w:color="7F7F7F"/>
              <w:right w:val="single" w:sz="4" w:space="0" w:color="7F7F7F"/>
            </w:tcBorders>
          </w:tcPr>
          <w:p w14:paraId="17C9D5E8" w14:textId="77777777" w:rsidR="008B3241" w:rsidRDefault="00AC416D">
            <w:pPr>
              <w:spacing w:after="0" w:line="259" w:lineRule="auto"/>
              <w:ind w:left="2" w:firstLine="0"/>
            </w:pPr>
            <w:r>
              <w:t xml:space="preserve">Al </w:t>
            </w:r>
            <w:proofErr w:type="spellStart"/>
            <w:r>
              <w:t>Grinding</w:t>
            </w:r>
            <w:proofErr w:type="spellEnd"/>
            <w:r>
              <w:t xml:space="preserve"> (water) </w:t>
            </w:r>
          </w:p>
        </w:tc>
        <w:tc>
          <w:tcPr>
            <w:tcW w:w="2417" w:type="dxa"/>
            <w:tcBorders>
              <w:top w:val="single" w:sz="4" w:space="0" w:color="7F7F7F"/>
              <w:left w:val="single" w:sz="4" w:space="0" w:color="7F7F7F"/>
              <w:bottom w:val="single" w:sz="4" w:space="0" w:color="7F7F7F"/>
              <w:right w:val="single" w:sz="4" w:space="0" w:color="7F7F7F"/>
            </w:tcBorders>
          </w:tcPr>
          <w:p w14:paraId="351FD935" w14:textId="77777777" w:rsidR="008B3241" w:rsidRDefault="00AC416D">
            <w:pPr>
              <w:spacing w:after="0" w:line="259" w:lineRule="auto"/>
              <w:ind w:left="0" w:right="107" w:firstLine="0"/>
              <w:jc w:val="right"/>
            </w:pPr>
            <w:r>
              <w:t xml:space="preserve">35.450 </w:t>
            </w:r>
          </w:p>
        </w:tc>
      </w:tr>
      <w:tr w:rsidR="008B3241" w14:paraId="208F5F4C" w14:textId="77777777">
        <w:trPr>
          <w:trHeight w:val="497"/>
        </w:trPr>
        <w:tc>
          <w:tcPr>
            <w:tcW w:w="6571" w:type="dxa"/>
            <w:tcBorders>
              <w:top w:val="single" w:sz="4" w:space="0" w:color="7F7F7F"/>
              <w:left w:val="single" w:sz="4" w:space="0" w:color="7F7F7F"/>
              <w:bottom w:val="single" w:sz="4" w:space="0" w:color="7F7F7F"/>
              <w:right w:val="single" w:sz="4" w:space="0" w:color="7F7F7F"/>
            </w:tcBorders>
          </w:tcPr>
          <w:p w14:paraId="2741728A" w14:textId="77777777" w:rsidR="008B3241" w:rsidRDefault="00AC416D">
            <w:pPr>
              <w:spacing w:after="0" w:line="259" w:lineRule="auto"/>
              <w:ind w:left="2" w:firstLine="0"/>
            </w:pPr>
            <w:r>
              <w:t xml:space="preserve">Iron </w:t>
            </w:r>
          </w:p>
        </w:tc>
        <w:tc>
          <w:tcPr>
            <w:tcW w:w="2417" w:type="dxa"/>
            <w:tcBorders>
              <w:top w:val="single" w:sz="4" w:space="0" w:color="7F7F7F"/>
              <w:left w:val="single" w:sz="4" w:space="0" w:color="7F7F7F"/>
              <w:bottom w:val="single" w:sz="4" w:space="0" w:color="7F7F7F"/>
              <w:right w:val="single" w:sz="4" w:space="0" w:color="7F7F7F"/>
            </w:tcBorders>
          </w:tcPr>
          <w:p w14:paraId="14D3E89C" w14:textId="77777777" w:rsidR="008B3241" w:rsidRDefault="00AC416D">
            <w:pPr>
              <w:spacing w:after="0" w:line="259" w:lineRule="auto"/>
              <w:ind w:left="0" w:right="107" w:firstLine="0"/>
              <w:jc w:val="right"/>
            </w:pPr>
            <w:r>
              <w:t xml:space="preserve">11.742 </w:t>
            </w:r>
          </w:p>
        </w:tc>
      </w:tr>
      <w:tr w:rsidR="008B3241" w14:paraId="3ECEE0DC" w14:textId="77777777">
        <w:trPr>
          <w:trHeight w:val="495"/>
        </w:trPr>
        <w:tc>
          <w:tcPr>
            <w:tcW w:w="6571" w:type="dxa"/>
            <w:tcBorders>
              <w:top w:val="single" w:sz="4" w:space="0" w:color="7F7F7F"/>
              <w:left w:val="single" w:sz="4" w:space="0" w:color="7F7F7F"/>
              <w:bottom w:val="single" w:sz="4" w:space="0" w:color="7F7F7F"/>
              <w:right w:val="single" w:sz="4" w:space="0" w:color="7F7F7F"/>
            </w:tcBorders>
          </w:tcPr>
          <w:p w14:paraId="3747AA0C" w14:textId="77777777" w:rsidR="008B3241" w:rsidRDefault="00AC416D">
            <w:pPr>
              <w:spacing w:after="0" w:line="259" w:lineRule="auto"/>
              <w:ind w:left="2" w:firstLine="0"/>
            </w:pPr>
            <w:r>
              <w:t xml:space="preserve">Die Steel </w:t>
            </w:r>
          </w:p>
        </w:tc>
        <w:tc>
          <w:tcPr>
            <w:tcW w:w="2417" w:type="dxa"/>
            <w:tcBorders>
              <w:top w:val="single" w:sz="4" w:space="0" w:color="7F7F7F"/>
              <w:left w:val="single" w:sz="4" w:space="0" w:color="7F7F7F"/>
              <w:bottom w:val="single" w:sz="4" w:space="0" w:color="7F7F7F"/>
              <w:right w:val="single" w:sz="4" w:space="0" w:color="7F7F7F"/>
            </w:tcBorders>
          </w:tcPr>
          <w:p w14:paraId="5353541E" w14:textId="77777777" w:rsidR="008B3241" w:rsidRDefault="00AC416D">
            <w:pPr>
              <w:spacing w:after="0" w:line="259" w:lineRule="auto"/>
              <w:ind w:left="0" w:right="107" w:firstLine="0"/>
              <w:jc w:val="right"/>
            </w:pPr>
            <w:r>
              <w:t xml:space="preserve">112.900 </w:t>
            </w:r>
          </w:p>
        </w:tc>
      </w:tr>
      <w:tr w:rsidR="008B3241" w14:paraId="2DD76E72" w14:textId="77777777">
        <w:trPr>
          <w:trHeight w:val="497"/>
        </w:trPr>
        <w:tc>
          <w:tcPr>
            <w:tcW w:w="6571" w:type="dxa"/>
            <w:tcBorders>
              <w:top w:val="single" w:sz="4" w:space="0" w:color="7F7F7F"/>
              <w:left w:val="single" w:sz="4" w:space="0" w:color="7F7F7F"/>
              <w:bottom w:val="single" w:sz="4" w:space="0" w:color="7F7F7F"/>
              <w:right w:val="single" w:sz="4" w:space="0" w:color="7F7F7F"/>
            </w:tcBorders>
          </w:tcPr>
          <w:p w14:paraId="21952939" w14:textId="77777777" w:rsidR="008B3241" w:rsidRDefault="00AC416D">
            <w:pPr>
              <w:spacing w:after="0" w:line="259" w:lineRule="auto"/>
              <w:ind w:left="2" w:firstLine="0"/>
            </w:pPr>
            <w:proofErr w:type="spellStart"/>
            <w:r>
              <w:t>Hydr</w:t>
            </w:r>
            <w:proofErr w:type="spellEnd"/>
            <w:r>
              <w:t xml:space="preserve">. Oil </w:t>
            </w:r>
          </w:p>
        </w:tc>
        <w:tc>
          <w:tcPr>
            <w:tcW w:w="2417" w:type="dxa"/>
            <w:tcBorders>
              <w:top w:val="single" w:sz="4" w:space="0" w:color="7F7F7F"/>
              <w:left w:val="single" w:sz="4" w:space="0" w:color="7F7F7F"/>
              <w:bottom w:val="single" w:sz="4" w:space="0" w:color="7F7F7F"/>
              <w:right w:val="single" w:sz="4" w:space="0" w:color="7F7F7F"/>
            </w:tcBorders>
          </w:tcPr>
          <w:p w14:paraId="725B2641" w14:textId="77777777" w:rsidR="008B3241" w:rsidRDefault="00AC416D">
            <w:pPr>
              <w:spacing w:after="0" w:line="259" w:lineRule="auto"/>
              <w:ind w:left="0" w:right="107" w:firstLine="0"/>
              <w:jc w:val="right"/>
            </w:pPr>
            <w:r>
              <w:t xml:space="preserve">47.800 </w:t>
            </w:r>
          </w:p>
        </w:tc>
      </w:tr>
      <w:tr w:rsidR="008B3241" w14:paraId="0B4CD918" w14:textId="77777777">
        <w:trPr>
          <w:trHeight w:val="495"/>
        </w:trPr>
        <w:tc>
          <w:tcPr>
            <w:tcW w:w="6571" w:type="dxa"/>
            <w:tcBorders>
              <w:top w:val="single" w:sz="4" w:space="0" w:color="7F7F7F"/>
              <w:left w:val="single" w:sz="4" w:space="0" w:color="7F7F7F"/>
              <w:bottom w:val="single" w:sz="4" w:space="0" w:color="7F7F7F"/>
              <w:right w:val="single" w:sz="4" w:space="0" w:color="7F7F7F"/>
            </w:tcBorders>
          </w:tcPr>
          <w:p w14:paraId="3CB4D55E" w14:textId="77777777" w:rsidR="008B3241" w:rsidRDefault="00AC416D">
            <w:pPr>
              <w:spacing w:after="0" w:line="259" w:lineRule="auto"/>
              <w:ind w:left="2" w:firstLine="0"/>
            </w:pPr>
            <w:proofErr w:type="spellStart"/>
            <w:r>
              <w:t>CausUc</w:t>
            </w:r>
            <w:proofErr w:type="spellEnd"/>
            <w:r>
              <w:t xml:space="preserve"> Soda </w:t>
            </w:r>
          </w:p>
        </w:tc>
        <w:tc>
          <w:tcPr>
            <w:tcW w:w="2417" w:type="dxa"/>
            <w:tcBorders>
              <w:top w:val="single" w:sz="4" w:space="0" w:color="7F7F7F"/>
              <w:left w:val="single" w:sz="4" w:space="0" w:color="7F7F7F"/>
              <w:bottom w:val="single" w:sz="4" w:space="0" w:color="7F7F7F"/>
              <w:right w:val="single" w:sz="4" w:space="0" w:color="7F7F7F"/>
            </w:tcBorders>
          </w:tcPr>
          <w:p w14:paraId="006A5BB5" w14:textId="77777777" w:rsidR="008B3241" w:rsidRDefault="00AC416D">
            <w:pPr>
              <w:spacing w:after="0" w:line="259" w:lineRule="auto"/>
              <w:ind w:left="0" w:right="107" w:firstLine="0"/>
              <w:jc w:val="right"/>
            </w:pPr>
            <w:r>
              <w:t xml:space="preserve">2.515.200 </w:t>
            </w:r>
          </w:p>
        </w:tc>
      </w:tr>
      <w:tr w:rsidR="008B3241" w14:paraId="4967C22A" w14:textId="77777777">
        <w:trPr>
          <w:trHeight w:val="495"/>
        </w:trPr>
        <w:tc>
          <w:tcPr>
            <w:tcW w:w="6571" w:type="dxa"/>
            <w:tcBorders>
              <w:top w:val="single" w:sz="4" w:space="0" w:color="7F7F7F"/>
              <w:left w:val="single" w:sz="4" w:space="0" w:color="7F7F7F"/>
              <w:bottom w:val="single" w:sz="4" w:space="0" w:color="7F7F7F"/>
              <w:right w:val="single" w:sz="4" w:space="0" w:color="7F7F7F"/>
            </w:tcBorders>
          </w:tcPr>
          <w:p w14:paraId="1E3112E3" w14:textId="77777777" w:rsidR="008B3241" w:rsidRDefault="00AC416D">
            <w:pPr>
              <w:spacing w:after="0" w:line="259" w:lineRule="auto"/>
              <w:ind w:left="2" w:firstLine="0"/>
            </w:pPr>
            <w:r>
              <w:rPr>
                <w:b/>
              </w:rPr>
              <w:t xml:space="preserve">Total  </w:t>
            </w:r>
          </w:p>
        </w:tc>
        <w:tc>
          <w:tcPr>
            <w:tcW w:w="2417" w:type="dxa"/>
            <w:tcBorders>
              <w:top w:val="single" w:sz="4" w:space="0" w:color="7F7F7F"/>
              <w:left w:val="single" w:sz="4" w:space="0" w:color="7F7F7F"/>
              <w:bottom w:val="single" w:sz="4" w:space="0" w:color="7F7F7F"/>
              <w:right w:val="single" w:sz="4" w:space="0" w:color="7F7F7F"/>
            </w:tcBorders>
          </w:tcPr>
          <w:p w14:paraId="5BAE510A" w14:textId="77777777" w:rsidR="008B3241" w:rsidRDefault="00AC416D">
            <w:pPr>
              <w:spacing w:after="0" w:line="259" w:lineRule="auto"/>
              <w:ind w:left="0" w:right="54" w:firstLine="0"/>
              <w:jc w:val="right"/>
            </w:pPr>
            <w:r>
              <w:rPr>
                <w:b/>
              </w:rPr>
              <w:t xml:space="preserve">3.167.916 </w:t>
            </w:r>
          </w:p>
        </w:tc>
      </w:tr>
      <w:tr w:rsidR="008B3241" w14:paraId="65366B5B" w14:textId="77777777">
        <w:trPr>
          <w:trHeight w:val="497"/>
        </w:trPr>
        <w:tc>
          <w:tcPr>
            <w:tcW w:w="6571" w:type="dxa"/>
            <w:tcBorders>
              <w:top w:val="single" w:sz="4" w:space="0" w:color="7F7F7F"/>
              <w:left w:val="single" w:sz="4" w:space="0" w:color="7F7F7F"/>
              <w:bottom w:val="single" w:sz="4" w:space="0" w:color="7F7F7F"/>
              <w:right w:val="single" w:sz="4" w:space="0" w:color="7F7F7F"/>
            </w:tcBorders>
          </w:tcPr>
          <w:p w14:paraId="2C909907" w14:textId="77777777" w:rsidR="008B3241" w:rsidRDefault="00AC416D">
            <w:pPr>
              <w:spacing w:after="0" w:line="259" w:lineRule="auto"/>
              <w:ind w:left="2" w:firstLine="0"/>
            </w:pPr>
            <w:r>
              <w:rPr>
                <w:b/>
              </w:rPr>
              <w:t xml:space="preserve">% </w:t>
            </w:r>
            <w:proofErr w:type="spellStart"/>
            <w:r>
              <w:rPr>
                <w:b/>
              </w:rPr>
              <w:t>Recycled</w:t>
            </w:r>
            <w:proofErr w:type="spellEnd"/>
            <w:r>
              <w:rPr>
                <w:b/>
              </w:rPr>
              <w:t xml:space="preserve"> </w:t>
            </w:r>
          </w:p>
        </w:tc>
        <w:tc>
          <w:tcPr>
            <w:tcW w:w="2417" w:type="dxa"/>
            <w:tcBorders>
              <w:top w:val="single" w:sz="4" w:space="0" w:color="7F7F7F"/>
              <w:left w:val="single" w:sz="4" w:space="0" w:color="7F7F7F"/>
              <w:bottom w:val="single" w:sz="4" w:space="0" w:color="7F7F7F"/>
              <w:right w:val="single" w:sz="4" w:space="0" w:color="7F7F7F"/>
            </w:tcBorders>
          </w:tcPr>
          <w:p w14:paraId="424B7E3B" w14:textId="77777777" w:rsidR="008B3241" w:rsidRDefault="00AC416D">
            <w:pPr>
              <w:spacing w:after="0" w:line="259" w:lineRule="auto"/>
              <w:ind w:left="0" w:right="107" w:firstLine="0"/>
              <w:jc w:val="right"/>
            </w:pPr>
            <w:r>
              <w:rPr>
                <w:b/>
              </w:rPr>
              <w:t xml:space="preserve">90 </w:t>
            </w:r>
          </w:p>
        </w:tc>
      </w:tr>
    </w:tbl>
    <w:p w14:paraId="73C17EA9" w14:textId="77777777" w:rsidR="008B3241" w:rsidRDefault="00AC416D">
      <w:pPr>
        <w:spacing w:after="235" w:line="259" w:lineRule="auto"/>
        <w:ind w:left="67"/>
      </w:pPr>
      <w:proofErr w:type="spellStart"/>
      <w:r>
        <w:rPr>
          <w:b/>
        </w:rPr>
        <w:t>Hazardous</w:t>
      </w:r>
      <w:proofErr w:type="spellEnd"/>
      <w:r>
        <w:rPr>
          <w:b/>
        </w:rPr>
        <w:t xml:space="preserve"> waste: </w:t>
      </w:r>
    </w:p>
    <w:p w14:paraId="61251C38" w14:textId="77777777" w:rsidR="008B3241" w:rsidRDefault="00AC416D">
      <w:pPr>
        <w:ind w:left="82"/>
      </w:pPr>
      <w:r>
        <w:t xml:space="preserve">Caustic Soda    99% is </w:t>
      </w:r>
      <w:proofErr w:type="spellStart"/>
      <w:r>
        <w:t>being</w:t>
      </w:r>
      <w:proofErr w:type="spellEnd"/>
      <w:r>
        <w:t xml:space="preserve"> </w:t>
      </w:r>
      <w:proofErr w:type="spellStart"/>
      <w:r>
        <w:t>recycled</w:t>
      </w:r>
      <w:proofErr w:type="spellEnd"/>
      <w:r>
        <w:t xml:space="preserve">  </w:t>
      </w:r>
    </w:p>
    <w:p w14:paraId="67B86FE0" w14:textId="77777777" w:rsidR="008B3241" w:rsidRPr="00AC416D" w:rsidRDefault="00AC416D">
      <w:pPr>
        <w:spacing w:after="212" w:line="259" w:lineRule="auto"/>
        <w:ind w:left="67"/>
        <w:rPr>
          <w:lang w:val="en-US"/>
        </w:rPr>
      </w:pPr>
      <w:r w:rsidRPr="00AC416D">
        <w:rPr>
          <w:b/>
          <w:lang w:val="en-US"/>
        </w:rPr>
        <w:t xml:space="preserve">Targets reduction for the year 2023: </w:t>
      </w:r>
      <w:r w:rsidRPr="00AC416D">
        <w:rPr>
          <w:lang w:val="en-US"/>
        </w:rPr>
        <w:t xml:space="preserve"> </w:t>
      </w:r>
    </w:p>
    <w:p w14:paraId="29A8D4EB" w14:textId="77777777" w:rsidR="008B3241" w:rsidRPr="00AC416D" w:rsidRDefault="00AC416D">
      <w:pPr>
        <w:numPr>
          <w:ilvl w:val="0"/>
          <w:numId w:val="5"/>
        </w:numPr>
        <w:ind w:hanging="360"/>
        <w:rPr>
          <w:lang w:val="en-US"/>
        </w:rPr>
      </w:pPr>
      <w:r w:rsidRPr="00AC416D">
        <w:rPr>
          <w:lang w:val="en-US"/>
        </w:rPr>
        <w:t xml:space="preserve">Caustic Soda (consumption): - 20 % by not removing </w:t>
      </w:r>
      <w:proofErr w:type="spellStart"/>
      <w:r w:rsidRPr="00AC416D">
        <w:rPr>
          <w:lang w:val="en-US"/>
        </w:rPr>
        <w:t>aluminium</w:t>
      </w:r>
      <w:proofErr w:type="spellEnd"/>
      <w:r w:rsidRPr="00AC416D">
        <w:rPr>
          <w:lang w:val="en-US"/>
        </w:rPr>
        <w:t xml:space="preserve"> in the die and efficiency improvements.  </w:t>
      </w:r>
    </w:p>
    <w:p w14:paraId="4CFD0E77" w14:textId="77777777" w:rsidR="008B3241" w:rsidRPr="00AC416D" w:rsidRDefault="00AC416D">
      <w:pPr>
        <w:numPr>
          <w:ilvl w:val="0"/>
          <w:numId w:val="5"/>
        </w:numPr>
        <w:spacing w:after="743"/>
        <w:ind w:hanging="360"/>
        <w:rPr>
          <w:lang w:val="en-US"/>
        </w:rPr>
      </w:pPr>
      <w:r w:rsidRPr="00AC416D">
        <w:rPr>
          <w:lang w:val="en-US"/>
        </w:rPr>
        <w:t xml:space="preserve">Paper/Cardboard, Wood, Plastic: - 5 % By optimizing packaging of profiles.   </w:t>
      </w:r>
    </w:p>
    <w:p w14:paraId="2320D5EE" w14:textId="77777777" w:rsidR="008B3241" w:rsidRDefault="00AC416D">
      <w:pPr>
        <w:pStyle w:val="Kop1"/>
        <w:spacing w:after="0"/>
        <w:ind w:left="-1" w:right="1952"/>
      </w:pPr>
      <w:bookmarkStart w:id="14" w:name="_Toc11301"/>
      <w:r>
        <w:rPr>
          <w:u w:val="none"/>
        </w:rPr>
        <w:t xml:space="preserve">15. </w:t>
      </w:r>
      <w:r>
        <w:t xml:space="preserve">Water Assessment </w:t>
      </w:r>
      <w:proofErr w:type="spellStart"/>
      <w:r>
        <w:t>and</w:t>
      </w:r>
      <w:proofErr w:type="spellEnd"/>
      <w:r>
        <w:t xml:space="preserve"> </w:t>
      </w:r>
      <w:proofErr w:type="spellStart"/>
      <w:r>
        <w:t>Disclosure</w:t>
      </w:r>
      <w:proofErr w:type="spellEnd"/>
      <w:r>
        <w:rPr>
          <w:u w:val="none"/>
        </w:rPr>
        <w:t xml:space="preserve"> </w:t>
      </w:r>
      <w:r>
        <w:rPr>
          <w:b w:val="0"/>
          <w:u w:val="none"/>
        </w:rPr>
        <w:t xml:space="preserve">     </w:t>
      </w:r>
      <w:bookmarkEnd w:id="14"/>
    </w:p>
    <w:tbl>
      <w:tblPr>
        <w:tblStyle w:val="TableGrid"/>
        <w:tblW w:w="6500" w:type="dxa"/>
        <w:tblInd w:w="24" w:type="dxa"/>
        <w:tblCellMar>
          <w:top w:w="92" w:type="dxa"/>
          <w:left w:w="85" w:type="dxa"/>
          <w:bottom w:w="85" w:type="dxa"/>
          <w:right w:w="30" w:type="dxa"/>
        </w:tblCellMar>
        <w:tblLook w:val="04A0" w:firstRow="1" w:lastRow="0" w:firstColumn="1" w:lastColumn="0" w:noHBand="0" w:noVBand="1"/>
      </w:tblPr>
      <w:tblGrid>
        <w:gridCol w:w="4359"/>
        <w:gridCol w:w="1181"/>
        <w:gridCol w:w="960"/>
      </w:tblGrid>
      <w:tr w:rsidR="008B3241" w14:paraId="2BFCBA6B" w14:textId="77777777">
        <w:trPr>
          <w:trHeight w:val="417"/>
        </w:trPr>
        <w:tc>
          <w:tcPr>
            <w:tcW w:w="4359" w:type="dxa"/>
            <w:tcBorders>
              <w:top w:val="single" w:sz="4" w:space="0" w:color="7F7F7F"/>
              <w:left w:val="single" w:sz="4" w:space="0" w:color="7F7F7F"/>
              <w:bottom w:val="single" w:sz="4" w:space="0" w:color="7F7F7F"/>
              <w:right w:val="single" w:sz="4" w:space="0" w:color="7F7F7F"/>
            </w:tcBorders>
          </w:tcPr>
          <w:p w14:paraId="3DBBD81D" w14:textId="77777777" w:rsidR="008B3241" w:rsidRDefault="00AC416D">
            <w:pPr>
              <w:spacing w:after="0" w:line="259" w:lineRule="auto"/>
              <w:ind w:left="0" w:firstLine="0"/>
            </w:pPr>
            <w:proofErr w:type="spellStart"/>
            <w:r>
              <w:rPr>
                <w:b/>
              </w:rPr>
              <w:t>WaterconsumpBon</w:t>
            </w:r>
            <w:proofErr w:type="spellEnd"/>
            <w:r>
              <w:rPr>
                <w:b/>
              </w:rPr>
              <w:t xml:space="preserve"> 2022 </w:t>
            </w:r>
          </w:p>
        </w:tc>
        <w:tc>
          <w:tcPr>
            <w:tcW w:w="1181" w:type="dxa"/>
            <w:tcBorders>
              <w:top w:val="single" w:sz="4" w:space="0" w:color="7F7F7F"/>
              <w:left w:val="single" w:sz="4" w:space="0" w:color="7F7F7F"/>
              <w:bottom w:val="single" w:sz="4" w:space="0" w:color="7F7F7F"/>
              <w:right w:val="single" w:sz="4" w:space="0" w:color="7F7F7F"/>
            </w:tcBorders>
          </w:tcPr>
          <w:p w14:paraId="6A5EA367" w14:textId="77777777" w:rsidR="008B3241" w:rsidRDefault="00AC416D">
            <w:pPr>
              <w:spacing w:after="0" w:line="259" w:lineRule="auto"/>
              <w:ind w:left="0" w:firstLine="0"/>
            </w:pPr>
            <w:r>
              <w:t xml:space="preserve">  </w:t>
            </w:r>
          </w:p>
        </w:tc>
        <w:tc>
          <w:tcPr>
            <w:tcW w:w="960" w:type="dxa"/>
            <w:tcBorders>
              <w:top w:val="single" w:sz="4" w:space="0" w:color="7F7F7F"/>
              <w:left w:val="single" w:sz="4" w:space="0" w:color="7F7F7F"/>
              <w:bottom w:val="single" w:sz="4" w:space="0" w:color="7F7F7F"/>
              <w:right w:val="single" w:sz="4" w:space="0" w:color="7F7F7F"/>
            </w:tcBorders>
          </w:tcPr>
          <w:p w14:paraId="4BAFA293" w14:textId="77777777" w:rsidR="008B3241" w:rsidRDefault="00AC416D">
            <w:pPr>
              <w:spacing w:after="0" w:line="259" w:lineRule="auto"/>
              <w:ind w:left="0" w:firstLine="0"/>
            </w:pPr>
            <w:r>
              <w:t xml:space="preserve">  </w:t>
            </w:r>
          </w:p>
        </w:tc>
      </w:tr>
      <w:tr w:rsidR="008B3241" w14:paraId="46D5DD42" w14:textId="77777777">
        <w:trPr>
          <w:trHeight w:val="737"/>
        </w:trPr>
        <w:tc>
          <w:tcPr>
            <w:tcW w:w="4359" w:type="dxa"/>
            <w:tcBorders>
              <w:top w:val="single" w:sz="4" w:space="0" w:color="7F7F7F"/>
              <w:left w:val="single" w:sz="4" w:space="0" w:color="7F7F7F"/>
              <w:bottom w:val="single" w:sz="4" w:space="0" w:color="7F7F7F"/>
              <w:right w:val="single" w:sz="4" w:space="0" w:color="7F7F7F"/>
            </w:tcBorders>
          </w:tcPr>
          <w:p w14:paraId="19886C9F" w14:textId="77777777" w:rsidR="008B3241" w:rsidRPr="00AC416D" w:rsidRDefault="00AC416D">
            <w:pPr>
              <w:spacing w:after="0" w:line="259" w:lineRule="auto"/>
              <w:ind w:left="0" w:firstLine="0"/>
              <w:rPr>
                <w:lang w:val="en-US"/>
              </w:rPr>
            </w:pPr>
            <w:r w:rsidRPr="00AC416D">
              <w:rPr>
                <w:lang w:val="en-US"/>
              </w:rPr>
              <w:lastRenderedPageBreak/>
              <w:t xml:space="preserve">All water is supplied by the local </w:t>
            </w:r>
            <w:proofErr w:type="spellStart"/>
            <w:r w:rsidRPr="00AC416D">
              <w:rPr>
                <w:lang w:val="en-US"/>
              </w:rPr>
              <w:t>waterauthority</w:t>
            </w:r>
            <w:proofErr w:type="spellEnd"/>
            <w:r w:rsidRPr="00AC416D">
              <w:rPr>
                <w:lang w:val="en-US"/>
              </w:rPr>
              <w:t xml:space="preserve">. </w:t>
            </w:r>
          </w:p>
        </w:tc>
        <w:tc>
          <w:tcPr>
            <w:tcW w:w="1181" w:type="dxa"/>
            <w:tcBorders>
              <w:top w:val="single" w:sz="4" w:space="0" w:color="7F7F7F"/>
              <w:left w:val="single" w:sz="4" w:space="0" w:color="7F7F7F"/>
              <w:bottom w:val="single" w:sz="4" w:space="0" w:color="7F7F7F"/>
              <w:right w:val="single" w:sz="4" w:space="0" w:color="7F7F7F"/>
            </w:tcBorders>
            <w:vAlign w:val="bottom"/>
          </w:tcPr>
          <w:p w14:paraId="21BBC9C2" w14:textId="77777777" w:rsidR="008B3241" w:rsidRPr="00AC416D" w:rsidRDefault="00AC416D">
            <w:pPr>
              <w:spacing w:after="0" w:line="259" w:lineRule="auto"/>
              <w:ind w:left="0" w:firstLine="0"/>
              <w:rPr>
                <w:lang w:val="en-US"/>
              </w:rPr>
            </w:pPr>
            <w:r w:rsidRPr="00AC416D">
              <w:rPr>
                <w:lang w:val="en-US"/>
              </w:rPr>
              <w:t xml:space="preserve">  </w:t>
            </w:r>
          </w:p>
        </w:tc>
        <w:tc>
          <w:tcPr>
            <w:tcW w:w="960" w:type="dxa"/>
            <w:tcBorders>
              <w:top w:val="single" w:sz="4" w:space="0" w:color="7F7F7F"/>
              <w:left w:val="single" w:sz="4" w:space="0" w:color="7F7F7F"/>
              <w:bottom w:val="single" w:sz="4" w:space="0" w:color="7F7F7F"/>
              <w:right w:val="single" w:sz="4" w:space="0" w:color="7F7F7F"/>
            </w:tcBorders>
            <w:vAlign w:val="bottom"/>
          </w:tcPr>
          <w:p w14:paraId="3C37E195" w14:textId="77777777" w:rsidR="008B3241" w:rsidRDefault="00AC416D">
            <w:pPr>
              <w:spacing w:after="0" w:line="259" w:lineRule="auto"/>
              <w:ind w:left="0" w:firstLine="0"/>
            </w:pPr>
            <w:r w:rsidRPr="00AC416D">
              <w:rPr>
                <w:lang w:val="en-US"/>
              </w:rPr>
              <w:t xml:space="preserve">      </w:t>
            </w:r>
            <w:r>
              <w:t xml:space="preserve">m3 </w:t>
            </w:r>
          </w:p>
        </w:tc>
      </w:tr>
      <w:tr w:rsidR="008B3241" w14:paraId="6488F6A3" w14:textId="77777777">
        <w:trPr>
          <w:trHeight w:val="417"/>
        </w:trPr>
        <w:tc>
          <w:tcPr>
            <w:tcW w:w="4359" w:type="dxa"/>
            <w:tcBorders>
              <w:top w:val="single" w:sz="4" w:space="0" w:color="7F7F7F"/>
              <w:left w:val="single" w:sz="4" w:space="0" w:color="7F7F7F"/>
              <w:bottom w:val="single" w:sz="4" w:space="0" w:color="7F7F7F"/>
              <w:right w:val="single" w:sz="4" w:space="0" w:color="7F7F7F"/>
            </w:tcBorders>
          </w:tcPr>
          <w:p w14:paraId="1595F56F" w14:textId="77777777" w:rsidR="008B3241" w:rsidRDefault="00AC416D">
            <w:pPr>
              <w:spacing w:after="0" w:line="259" w:lineRule="auto"/>
              <w:ind w:left="0" w:firstLine="0"/>
            </w:pPr>
            <w:r>
              <w:t xml:space="preserve">Total </w:t>
            </w:r>
            <w:proofErr w:type="spellStart"/>
            <w:r>
              <w:t>consumpUon</w:t>
            </w:r>
            <w:proofErr w:type="spellEnd"/>
            <w:r>
              <w:t xml:space="preserve"> (input): </w:t>
            </w:r>
          </w:p>
        </w:tc>
        <w:tc>
          <w:tcPr>
            <w:tcW w:w="1181" w:type="dxa"/>
            <w:tcBorders>
              <w:top w:val="single" w:sz="4" w:space="0" w:color="7F7F7F"/>
              <w:left w:val="single" w:sz="4" w:space="0" w:color="7F7F7F"/>
              <w:bottom w:val="single" w:sz="4" w:space="0" w:color="7F7F7F"/>
              <w:right w:val="single" w:sz="4" w:space="0" w:color="7F7F7F"/>
            </w:tcBorders>
          </w:tcPr>
          <w:p w14:paraId="34F56F9A" w14:textId="77777777" w:rsidR="008B3241" w:rsidRDefault="00AC416D">
            <w:pPr>
              <w:spacing w:after="0" w:line="259" w:lineRule="auto"/>
              <w:ind w:left="0" w:firstLine="0"/>
            </w:pPr>
            <w:r>
              <w:t xml:space="preserve">  </w:t>
            </w:r>
          </w:p>
        </w:tc>
        <w:tc>
          <w:tcPr>
            <w:tcW w:w="960" w:type="dxa"/>
            <w:tcBorders>
              <w:top w:val="single" w:sz="4" w:space="0" w:color="7F7F7F"/>
              <w:left w:val="single" w:sz="4" w:space="0" w:color="7F7F7F"/>
              <w:bottom w:val="single" w:sz="4" w:space="0" w:color="7F7F7F"/>
              <w:right w:val="single" w:sz="4" w:space="0" w:color="7F7F7F"/>
            </w:tcBorders>
          </w:tcPr>
          <w:p w14:paraId="46C73D56" w14:textId="77777777" w:rsidR="008B3241" w:rsidRDefault="00AC416D">
            <w:pPr>
              <w:spacing w:after="0" w:line="259" w:lineRule="auto"/>
              <w:ind w:left="68" w:firstLine="0"/>
            </w:pPr>
            <w:r>
              <w:t xml:space="preserve">18.648 </w:t>
            </w:r>
          </w:p>
        </w:tc>
      </w:tr>
      <w:tr w:rsidR="008B3241" w14:paraId="46AA4522" w14:textId="77777777">
        <w:trPr>
          <w:trHeight w:val="417"/>
        </w:trPr>
        <w:tc>
          <w:tcPr>
            <w:tcW w:w="4359" w:type="dxa"/>
            <w:tcBorders>
              <w:top w:val="single" w:sz="4" w:space="0" w:color="7F7F7F"/>
              <w:left w:val="single" w:sz="4" w:space="0" w:color="7F7F7F"/>
              <w:bottom w:val="single" w:sz="4" w:space="0" w:color="7F7F7F"/>
              <w:right w:val="single" w:sz="4" w:space="0" w:color="7F7F7F"/>
            </w:tcBorders>
          </w:tcPr>
          <w:p w14:paraId="756AC8B7" w14:textId="77777777" w:rsidR="008B3241" w:rsidRDefault="00AC416D">
            <w:pPr>
              <w:spacing w:after="0" w:line="259" w:lineRule="auto"/>
              <w:ind w:left="0" w:firstLine="0"/>
            </w:pPr>
            <w:proofErr w:type="spellStart"/>
            <w:r>
              <w:t>DomesUc</w:t>
            </w:r>
            <w:proofErr w:type="spellEnd"/>
            <w:r>
              <w:t xml:space="preserve"> </w:t>
            </w:r>
            <w:proofErr w:type="spellStart"/>
            <w:r>
              <w:t>applicaUons</w:t>
            </w:r>
            <w:proofErr w:type="spellEnd"/>
            <w:r>
              <w:t xml:space="preserve">: </w:t>
            </w:r>
          </w:p>
        </w:tc>
        <w:tc>
          <w:tcPr>
            <w:tcW w:w="1181" w:type="dxa"/>
            <w:tcBorders>
              <w:top w:val="single" w:sz="4" w:space="0" w:color="7F7F7F"/>
              <w:left w:val="single" w:sz="4" w:space="0" w:color="7F7F7F"/>
              <w:bottom w:val="single" w:sz="4" w:space="0" w:color="7F7F7F"/>
              <w:right w:val="single" w:sz="4" w:space="0" w:color="7F7F7F"/>
            </w:tcBorders>
          </w:tcPr>
          <w:p w14:paraId="1CA31E33" w14:textId="77777777" w:rsidR="008B3241" w:rsidRDefault="00AC416D">
            <w:pPr>
              <w:spacing w:after="0" w:line="259" w:lineRule="auto"/>
              <w:ind w:left="0" w:firstLine="0"/>
            </w:pPr>
            <w:r>
              <w:t xml:space="preserve">  </w:t>
            </w:r>
          </w:p>
        </w:tc>
        <w:tc>
          <w:tcPr>
            <w:tcW w:w="960" w:type="dxa"/>
            <w:tcBorders>
              <w:top w:val="single" w:sz="4" w:space="0" w:color="7F7F7F"/>
              <w:left w:val="single" w:sz="4" w:space="0" w:color="7F7F7F"/>
              <w:bottom w:val="single" w:sz="4" w:space="0" w:color="7F7F7F"/>
              <w:right w:val="single" w:sz="4" w:space="0" w:color="7F7F7F"/>
            </w:tcBorders>
          </w:tcPr>
          <w:p w14:paraId="38CA5EF9" w14:textId="77777777" w:rsidR="008B3241" w:rsidRDefault="00AC416D">
            <w:pPr>
              <w:spacing w:after="0" w:line="259" w:lineRule="auto"/>
              <w:ind w:left="0" w:right="109" w:firstLine="0"/>
              <w:jc w:val="right"/>
            </w:pPr>
            <w:r>
              <w:t xml:space="preserve">2.189 </w:t>
            </w:r>
          </w:p>
        </w:tc>
      </w:tr>
      <w:tr w:rsidR="008B3241" w14:paraId="4B9116C4" w14:textId="77777777">
        <w:trPr>
          <w:trHeight w:val="417"/>
        </w:trPr>
        <w:tc>
          <w:tcPr>
            <w:tcW w:w="4359" w:type="dxa"/>
            <w:tcBorders>
              <w:top w:val="single" w:sz="4" w:space="0" w:color="7F7F7F"/>
              <w:left w:val="single" w:sz="4" w:space="0" w:color="7F7F7F"/>
              <w:bottom w:val="single" w:sz="4" w:space="0" w:color="7F7F7F"/>
              <w:right w:val="single" w:sz="4" w:space="0" w:color="7F7F7F"/>
            </w:tcBorders>
          </w:tcPr>
          <w:p w14:paraId="0D2AF88E" w14:textId="77777777" w:rsidR="008B3241" w:rsidRDefault="00AC416D">
            <w:pPr>
              <w:spacing w:after="0" w:line="259" w:lineRule="auto"/>
              <w:ind w:left="0" w:firstLine="0"/>
            </w:pPr>
            <w:proofErr w:type="spellStart"/>
            <w:r>
              <w:t>CausUc</w:t>
            </w:r>
            <w:proofErr w:type="spellEnd"/>
            <w:r>
              <w:t xml:space="preserve"> (Die cleaning): </w:t>
            </w:r>
          </w:p>
        </w:tc>
        <w:tc>
          <w:tcPr>
            <w:tcW w:w="1181" w:type="dxa"/>
            <w:tcBorders>
              <w:top w:val="single" w:sz="4" w:space="0" w:color="7F7F7F"/>
              <w:left w:val="single" w:sz="4" w:space="0" w:color="7F7F7F"/>
              <w:bottom w:val="single" w:sz="4" w:space="0" w:color="7F7F7F"/>
              <w:right w:val="single" w:sz="4" w:space="0" w:color="7F7F7F"/>
            </w:tcBorders>
          </w:tcPr>
          <w:p w14:paraId="448E12D6" w14:textId="77777777" w:rsidR="008B3241" w:rsidRDefault="00AC416D">
            <w:pPr>
              <w:spacing w:after="0" w:line="259" w:lineRule="auto"/>
              <w:ind w:left="0" w:firstLine="0"/>
            </w:pPr>
            <w:r>
              <w:t xml:space="preserve">  </w:t>
            </w:r>
          </w:p>
        </w:tc>
        <w:tc>
          <w:tcPr>
            <w:tcW w:w="960" w:type="dxa"/>
            <w:tcBorders>
              <w:top w:val="single" w:sz="4" w:space="0" w:color="7F7F7F"/>
              <w:left w:val="single" w:sz="4" w:space="0" w:color="7F7F7F"/>
              <w:bottom w:val="single" w:sz="4" w:space="0" w:color="7F7F7F"/>
              <w:right w:val="single" w:sz="4" w:space="0" w:color="7F7F7F"/>
            </w:tcBorders>
          </w:tcPr>
          <w:p w14:paraId="19757EE0" w14:textId="77777777" w:rsidR="008B3241" w:rsidRDefault="00AC416D">
            <w:pPr>
              <w:spacing w:after="0" w:line="259" w:lineRule="auto"/>
              <w:ind w:left="0" w:right="109" w:firstLine="0"/>
              <w:jc w:val="right"/>
            </w:pPr>
            <w:r>
              <w:t xml:space="preserve">2.501 </w:t>
            </w:r>
          </w:p>
        </w:tc>
      </w:tr>
      <w:tr w:rsidR="008B3241" w14:paraId="0341A459" w14:textId="77777777">
        <w:trPr>
          <w:trHeight w:val="417"/>
        </w:trPr>
        <w:tc>
          <w:tcPr>
            <w:tcW w:w="4359" w:type="dxa"/>
            <w:tcBorders>
              <w:top w:val="single" w:sz="4" w:space="0" w:color="7F7F7F"/>
              <w:left w:val="single" w:sz="4" w:space="0" w:color="7F7F7F"/>
              <w:bottom w:val="single" w:sz="4" w:space="0" w:color="7F7F7F"/>
              <w:right w:val="single" w:sz="4" w:space="0" w:color="7F7F7F"/>
            </w:tcBorders>
          </w:tcPr>
          <w:p w14:paraId="18232A4F" w14:textId="77777777" w:rsidR="008B3241" w:rsidRDefault="00AC416D">
            <w:pPr>
              <w:spacing w:after="0" w:line="259" w:lineRule="auto"/>
              <w:ind w:left="0" w:firstLine="0"/>
            </w:pPr>
            <w:proofErr w:type="spellStart"/>
            <w:r>
              <w:t>Processes</w:t>
            </w:r>
            <w:proofErr w:type="spellEnd"/>
            <w:r>
              <w:t xml:space="preserve"> (e.g. </w:t>
            </w:r>
            <w:proofErr w:type="spellStart"/>
            <w:r>
              <w:t>cooling</w:t>
            </w:r>
            <w:proofErr w:type="spellEnd"/>
            <w:r>
              <w:t xml:space="preserve">) </w:t>
            </w:r>
          </w:p>
        </w:tc>
        <w:tc>
          <w:tcPr>
            <w:tcW w:w="1181" w:type="dxa"/>
            <w:tcBorders>
              <w:top w:val="single" w:sz="4" w:space="0" w:color="7F7F7F"/>
              <w:left w:val="single" w:sz="4" w:space="0" w:color="7F7F7F"/>
              <w:bottom w:val="single" w:sz="4" w:space="0" w:color="7F7F7F"/>
              <w:right w:val="single" w:sz="4" w:space="0" w:color="7F7F7F"/>
            </w:tcBorders>
          </w:tcPr>
          <w:p w14:paraId="181AC8A8" w14:textId="77777777" w:rsidR="008B3241" w:rsidRDefault="00AC416D">
            <w:pPr>
              <w:spacing w:after="0" w:line="259" w:lineRule="auto"/>
              <w:ind w:left="0" w:firstLine="0"/>
            </w:pPr>
            <w:r>
              <w:t xml:space="preserve">  </w:t>
            </w:r>
          </w:p>
        </w:tc>
        <w:tc>
          <w:tcPr>
            <w:tcW w:w="960" w:type="dxa"/>
            <w:tcBorders>
              <w:top w:val="single" w:sz="4" w:space="0" w:color="7F7F7F"/>
              <w:left w:val="single" w:sz="4" w:space="0" w:color="7F7F7F"/>
              <w:bottom w:val="single" w:sz="4" w:space="0" w:color="7F7F7F"/>
              <w:right w:val="single" w:sz="4" w:space="0" w:color="7F7F7F"/>
            </w:tcBorders>
          </w:tcPr>
          <w:p w14:paraId="56909219" w14:textId="77777777" w:rsidR="008B3241" w:rsidRDefault="00AC416D">
            <w:pPr>
              <w:spacing w:after="0" w:line="259" w:lineRule="auto"/>
              <w:ind w:left="0" w:right="109" w:firstLine="0"/>
              <w:jc w:val="right"/>
            </w:pPr>
            <w:r>
              <w:t xml:space="preserve">4.098 </w:t>
            </w:r>
          </w:p>
        </w:tc>
      </w:tr>
      <w:tr w:rsidR="008B3241" w14:paraId="5F17B4BE" w14:textId="77777777">
        <w:trPr>
          <w:trHeight w:val="737"/>
        </w:trPr>
        <w:tc>
          <w:tcPr>
            <w:tcW w:w="4359" w:type="dxa"/>
            <w:tcBorders>
              <w:top w:val="single" w:sz="4" w:space="0" w:color="7F7F7F"/>
              <w:left w:val="single" w:sz="4" w:space="0" w:color="7F7F7F"/>
              <w:bottom w:val="single" w:sz="4" w:space="0" w:color="7F7F7F"/>
              <w:right w:val="single" w:sz="4" w:space="0" w:color="7F7F7F"/>
            </w:tcBorders>
          </w:tcPr>
          <w:p w14:paraId="084AA6F4" w14:textId="77777777" w:rsidR="008B3241" w:rsidRDefault="00AC416D">
            <w:pPr>
              <w:spacing w:after="3" w:line="259" w:lineRule="auto"/>
              <w:ind w:left="0" w:firstLine="0"/>
            </w:pPr>
            <w:r>
              <w:t xml:space="preserve">City </w:t>
            </w:r>
            <w:proofErr w:type="spellStart"/>
            <w:r>
              <w:t>Sewer</w:t>
            </w:r>
            <w:proofErr w:type="spellEnd"/>
            <w:r>
              <w:t xml:space="preserve"> (output) :  </w:t>
            </w:r>
          </w:p>
          <w:p w14:paraId="32F39019" w14:textId="77777777" w:rsidR="008B3241" w:rsidRDefault="00AC416D">
            <w:pPr>
              <w:spacing w:after="0" w:line="259" w:lineRule="auto"/>
              <w:ind w:left="0" w:firstLine="0"/>
            </w:pPr>
            <w:r>
              <w:t xml:space="preserve"> </w:t>
            </w:r>
          </w:p>
        </w:tc>
        <w:tc>
          <w:tcPr>
            <w:tcW w:w="1181" w:type="dxa"/>
            <w:tcBorders>
              <w:top w:val="single" w:sz="4" w:space="0" w:color="7F7F7F"/>
              <w:left w:val="single" w:sz="4" w:space="0" w:color="7F7F7F"/>
              <w:bottom w:val="single" w:sz="4" w:space="0" w:color="7F7F7F"/>
              <w:right w:val="single" w:sz="4" w:space="0" w:color="7F7F7F"/>
            </w:tcBorders>
          </w:tcPr>
          <w:p w14:paraId="44EBD50E" w14:textId="77777777" w:rsidR="008B3241" w:rsidRDefault="00AC416D">
            <w:pPr>
              <w:spacing w:after="3" w:line="259" w:lineRule="auto"/>
              <w:ind w:left="0" w:firstLine="0"/>
            </w:pPr>
            <w:r>
              <w:t xml:space="preserve">   </w:t>
            </w:r>
          </w:p>
          <w:p w14:paraId="26595DB4" w14:textId="77777777" w:rsidR="008B3241" w:rsidRDefault="00AC416D">
            <w:pPr>
              <w:spacing w:after="0" w:line="259" w:lineRule="auto"/>
              <w:ind w:left="0" w:firstLine="0"/>
            </w:pPr>
            <w:r>
              <w:t xml:space="preserve"> </w:t>
            </w:r>
          </w:p>
        </w:tc>
        <w:tc>
          <w:tcPr>
            <w:tcW w:w="960" w:type="dxa"/>
            <w:tcBorders>
              <w:top w:val="single" w:sz="4" w:space="0" w:color="7F7F7F"/>
              <w:left w:val="single" w:sz="4" w:space="0" w:color="7F7F7F"/>
              <w:bottom w:val="single" w:sz="4" w:space="0" w:color="7F7F7F"/>
              <w:right w:val="single" w:sz="4" w:space="0" w:color="7F7F7F"/>
            </w:tcBorders>
          </w:tcPr>
          <w:p w14:paraId="4D6C9BDB" w14:textId="77777777" w:rsidR="008B3241" w:rsidRDefault="00AC416D">
            <w:pPr>
              <w:spacing w:after="3" w:line="259" w:lineRule="auto"/>
              <w:ind w:left="68" w:firstLine="0"/>
            </w:pPr>
            <w:r>
              <w:t xml:space="preserve">12.049  </w:t>
            </w:r>
          </w:p>
          <w:p w14:paraId="5AA3F5C0" w14:textId="77777777" w:rsidR="008B3241" w:rsidRDefault="00AC416D">
            <w:pPr>
              <w:spacing w:after="0" w:line="259" w:lineRule="auto"/>
              <w:ind w:left="0" w:right="1" w:firstLine="0"/>
              <w:jc w:val="right"/>
            </w:pPr>
            <w:r>
              <w:t xml:space="preserve"> </w:t>
            </w:r>
          </w:p>
        </w:tc>
      </w:tr>
    </w:tbl>
    <w:p w14:paraId="2B7DCFBD" w14:textId="77777777" w:rsidR="008B3241" w:rsidRPr="00AC416D" w:rsidRDefault="00AC416D">
      <w:pPr>
        <w:tabs>
          <w:tab w:val="center" w:pos="396"/>
          <w:tab w:val="center" w:pos="4373"/>
        </w:tabs>
        <w:spacing w:after="767"/>
        <w:ind w:left="0" w:firstLine="0"/>
        <w:rPr>
          <w:lang w:val="en-US"/>
        </w:rPr>
      </w:pPr>
      <w:r w:rsidRPr="00AC416D">
        <w:rPr>
          <w:sz w:val="22"/>
          <w:lang w:val="en-US"/>
        </w:rPr>
        <w:tab/>
      </w:r>
      <w:r w:rsidRPr="00AC416D">
        <w:rPr>
          <w:lang w:val="en-US"/>
        </w:rPr>
        <w:t>-</w:t>
      </w:r>
      <w:r w:rsidRPr="00AC416D">
        <w:rPr>
          <w:lang w:val="en-US"/>
        </w:rPr>
        <w:tab/>
      </w:r>
      <w:r w:rsidRPr="00AC416D">
        <w:rPr>
          <w:lang w:val="en-US"/>
        </w:rPr>
        <w:t xml:space="preserve">Reduction of water consumption: See target on use of Caustic Soda.  </w:t>
      </w:r>
    </w:p>
    <w:p w14:paraId="14976306" w14:textId="77777777" w:rsidR="008B3241" w:rsidRPr="00AC416D" w:rsidRDefault="00AC416D">
      <w:pPr>
        <w:pStyle w:val="Kop1"/>
        <w:ind w:left="-1" w:right="1952"/>
        <w:rPr>
          <w:lang w:val="en-US"/>
        </w:rPr>
      </w:pPr>
      <w:bookmarkStart w:id="15" w:name="_Toc11302"/>
      <w:r w:rsidRPr="00AC416D">
        <w:rPr>
          <w:u w:val="none"/>
          <w:lang w:val="en-US"/>
        </w:rPr>
        <w:t xml:space="preserve">16. </w:t>
      </w:r>
      <w:r w:rsidRPr="00AC416D">
        <w:rPr>
          <w:lang w:val="en-US"/>
        </w:rPr>
        <w:t>Biodiversity Management</w:t>
      </w:r>
      <w:r w:rsidRPr="00AC416D">
        <w:rPr>
          <w:u w:val="none"/>
          <w:lang w:val="en-US"/>
        </w:rPr>
        <w:t xml:space="preserve"> </w:t>
      </w:r>
      <w:r w:rsidRPr="00AC416D">
        <w:rPr>
          <w:b w:val="0"/>
          <w:u w:val="none"/>
          <w:lang w:val="en-US"/>
        </w:rPr>
        <w:t xml:space="preserve"> </w:t>
      </w:r>
      <w:bookmarkEnd w:id="15"/>
    </w:p>
    <w:p w14:paraId="0EBE9D19" w14:textId="77777777" w:rsidR="008B3241" w:rsidRPr="00AC416D" w:rsidRDefault="00AC416D">
      <w:pPr>
        <w:ind w:left="10"/>
        <w:rPr>
          <w:lang w:val="en-US"/>
        </w:rPr>
      </w:pPr>
      <w:r w:rsidRPr="00AC416D">
        <w:rPr>
          <w:lang w:val="en-US"/>
        </w:rPr>
        <w:t xml:space="preserve"> </w:t>
      </w:r>
      <w:r w:rsidRPr="00AC416D">
        <w:rPr>
          <w:lang w:val="en-US"/>
        </w:rPr>
        <w:t>Zoning plan of Nedal (Community of Utrecht January 28</w:t>
      </w:r>
      <w:r w:rsidRPr="00AC416D">
        <w:rPr>
          <w:sz w:val="16"/>
          <w:lang w:val="en-US"/>
        </w:rPr>
        <w:t>th,</w:t>
      </w:r>
      <w:r w:rsidRPr="00AC416D">
        <w:rPr>
          <w:lang w:val="en-US"/>
        </w:rPr>
        <w:t xml:space="preserve"> 2022)  </w:t>
      </w:r>
    </w:p>
    <w:p w14:paraId="419D793C" w14:textId="77777777" w:rsidR="008B3241" w:rsidRPr="00AC416D" w:rsidRDefault="00AC416D">
      <w:pPr>
        <w:ind w:left="10"/>
        <w:rPr>
          <w:lang w:val="en-US"/>
        </w:rPr>
      </w:pPr>
      <w:r w:rsidRPr="00AC416D">
        <w:rPr>
          <w:lang w:val="en-US"/>
        </w:rPr>
        <w:t xml:space="preserve">4.8 Biodiversity:  </w:t>
      </w:r>
    </w:p>
    <w:p w14:paraId="5140D2A1" w14:textId="77777777" w:rsidR="008B3241" w:rsidRPr="00AC416D" w:rsidRDefault="00AC416D">
      <w:pPr>
        <w:ind w:left="369"/>
        <w:rPr>
          <w:lang w:val="en-US"/>
        </w:rPr>
      </w:pPr>
      <w:r w:rsidRPr="00AC416D">
        <w:rPr>
          <w:lang w:val="en-US"/>
        </w:rPr>
        <w:t xml:space="preserve">Legal framework  </w:t>
      </w:r>
    </w:p>
    <w:p w14:paraId="3EDD508A" w14:textId="77777777" w:rsidR="008B3241" w:rsidRPr="00AC416D" w:rsidRDefault="00AC416D">
      <w:pPr>
        <w:ind w:left="369"/>
        <w:rPr>
          <w:lang w:val="en-US"/>
        </w:rPr>
      </w:pPr>
      <w:r w:rsidRPr="00AC416D">
        <w:rPr>
          <w:lang w:val="en-US"/>
        </w:rPr>
        <w:t xml:space="preserve">The protection of nature in the Netherlands is enshrined in European and national laws and regulations, which distinguish between species protection and area protection. Species protection in the Netherlands is regulated in the Flora and Fauna Act and area protection in the Nature Conservation Act 1998.  </w:t>
      </w:r>
    </w:p>
    <w:p w14:paraId="4B67A71B" w14:textId="77777777" w:rsidR="008B3241" w:rsidRPr="00AC416D" w:rsidRDefault="00AC416D">
      <w:pPr>
        <w:ind w:left="10"/>
        <w:rPr>
          <w:lang w:val="en-US"/>
        </w:rPr>
      </w:pPr>
      <w:r w:rsidRPr="00AC416D">
        <w:rPr>
          <w:lang w:val="en-US"/>
        </w:rPr>
        <w:t xml:space="preserve">Situation in the plan area:   </w:t>
      </w:r>
    </w:p>
    <w:p w14:paraId="6282A301" w14:textId="77777777" w:rsidR="008B3241" w:rsidRPr="00AC416D" w:rsidRDefault="00AC416D">
      <w:pPr>
        <w:ind w:left="369"/>
        <w:rPr>
          <w:lang w:val="en-US"/>
        </w:rPr>
      </w:pPr>
      <w:r w:rsidRPr="00AC416D">
        <w:rPr>
          <w:lang w:val="en-US"/>
        </w:rPr>
        <w:t xml:space="preserve">In the plan area, there are no protected natural monuments or other natural areas included in the Nature Conservation Act 1998. Nor are there any areas or connecting zones within the National Ecological Network. </w:t>
      </w:r>
      <w:proofErr w:type="spellStart"/>
      <w:r w:rsidRPr="00AC416D">
        <w:rPr>
          <w:lang w:val="en-US"/>
        </w:rPr>
        <w:t>Hooggelegen</w:t>
      </w:r>
      <w:proofErr w:type="spellEnd"/>
      <w:r w:rsidRPr="00AC416D">
        <w:rPr>
          <w:lang w:val="en-US"/>
        </w:rPr>
        <w:t xml:space="preserve"> (business park in Utrecht) does not form part of a national landscape and at a distance of about 6 </w:t>
      </w:r>
      <w:proofErr w:type="spellStart"/>
      <w:r w:rsidRPr="00AC416D">
        <w:rPr>
          <w:lang w:val="en-US"/>
        </w:rPr>
        <w:t>kilometres</w:t>
      </w:r>
      <w:proofErr w:type="spellEnd"/>
      <w:r w:rsidRPr="00AC416D">
        <w:rPr>
          <w:lang w:val="en-US"/>
        </w:rPr>
        <w:t xml:space="preserve"> lies the Natura 2000 area of the </w:t>
      </w:r>
      <w:proofErr w:type="spellStart"/>
      <w:r w:rsidRPr="00AC416D">
        <w:rPr>
          <w:lang w:val="en-US"/>
        </w:rPr>
        <w:t>Oostelijke</w:t>
      </w:r>
      <w:proofErr w:type="spellEnd"/>
      <w:r w:rsidRPr="00AC416D">
        <w:rPr>
          <w:lang w:val="en-US"/>
        </w:rPr>
        <w:t xml:space="preserve"> </w:t>
      </w:r>
      <w:proofErr w:type="spellStart"/>
      <w:r w:rsidRPr="00AC416D">
        <w:rPr>
          <w:lang w:val="en-US"/>
        </w:rPr>
        <w:t>Vechtplassen</w:t>
      </w:r>
      <w:proofErr w:type="spellEnd"/>
      <w:r w:rsidRPr="00AC416D">
        <w:rPr>
          <w:lang w:val="en-US"/>
        </w:rPr>
        <w:t xml:space="preserve">, in the municipality of </w:t>
      </w:r>
      <w:proofErr w:type="spellStart"/>
      <w:r w:rsidRPr="00AC416D">
        <w:rPr>
          <w:lang w:val="en-US"/>
        </w:rPr>
        <w:t>Stichtse</w:t>
      </w:r>
      <w:proofErr w:type="spellEnd"/>
      <w:r w:rsidRPr="00AC416D">
        <w:rPr>
          <w:lang w:val="en-US"/>
        </w:rPr>
        <w:t xml:space="preserve"> Vecht.  </w:t>
      </w:r>
    </w:p>
    <w:p w14:paraId="48B4424B" w14:textId="77777777" w:rsidR="008B3241" w:rsidRPr="00AC416D" w:rsidRDefault="00AC416D">
      <w:pPr>
        <w:spacing w:after="735"/>
        <w:ind w:left="369"/>
        <w:rPr>
          <w:lang w:val="en-US"/>
        </w:rPr>
      </w:pPr>
      <w:r w:rsidRPr="00AC416D">
        <w:rPr>
          <w:lang w:val="en-US"/>
        </w:rPr>
        <w:t>In the applications for the environmental permits, it has been demonstrated with sufficient accuracy that the emissions of N02 and PMIO to the outside air will be limited sufficiently, so that the effects of the activities to be licensed on air quality do not contribute significantly to the concentration of N02 and PM 10 in the outside air. To safeguard this, the environmental permits are accompanied by regulations that will lead to this goal. In view of the distances to the Natura 2000 area and the limited</w:t>
      </w:r>
      <w:r w:rsidRPr="00AC416D">
        <w:rPr>
          <w:lang w:val="en-US"/>
        </w:rPr>
        <w:t xml:space="preserve"> </w:t>
      </w:r>
      <w:r w:rsidRPr="00AC416D">
        <w:rPr>
          <w:lang w:val="en-US"/>
        </w:rPr>
        <w:lastRenderedPageBreak/>
        <w:t xml:space="preserve">development possibilities included in the zoning plan, it is likely that this will have no significant effects on the flora and fauna in the nature area. The conservation of the species and/or the conservation objectives of the nature reserve are not at risk.  </w:t>
      </w:r>
    </w:p>
    <w:p w14:paraId="4660046C" w14:textId="77777777" w:rsidR="008B3241" w:rsidRPr="00AC416D" w:rsidRDefault="00AC416D">
      <w:pPr>
        <w:pStyle w:val="Kop1"/>
        <w:ind w:left="-1" w:right="1952"/>
        <w:rPr>
          <w:lang w:val="en-US"/>
        </w:rPr>
      </w:pPr>
      <w:bookmarkStart w:id="16" w:name="_Toc11303"/>
      <w:r w:rsidRPr="00AC416D">
        <w:rPr>
          <w:u w:val="none"/>
          <w:lang w:val="en-US"/>
        </w:rPr>
        <w:t xml:space="preserve">17. </w:t>
      </w:r>
      <w:r w:rsidRPr="00AC416D">
        <w:rPr>
          <w:lang w:val="en-US"/>
        </w:rPr>
        <w:t>Human Rights Due Diligence</w:t>
      </w:r>
      <w:r w:rsidRPr="00AC416D">
        <w:rPr>
          <w:b w:val="0"/>
          <w:u w:val="none"/>
          <w:lang w:val="en-US"/>
        </w:rPr>
        <w:t xml:space="preserve"> </w:t>
      </w:r>
      <w:bookmarkEnd w:id="16"/>
    </w:p>
    <w:p w14:paraId="6C968085" w14:textId="77777777" w:rsidR="008B3241" w:rsidRPr="00AC416D" w:rsidRDefault="00AC416D">
      <w:pPr>
        <w:ind w:left="24"/>
        <w:rPr>
          <w:lang w:val="en-US"/>
        </w:rPr>
      </w:pPr>
      <w:r w:rsidRPr="00AC416D">
        <w:rPr>
          <w:lang w:val="en-US"/>
        </w:rPr>
        <w:t xml:space="preserve"> Introduction   </w:t>
      </w:r>
    </w:p>
    <w:p w14:paraId="64CD4DA0" w14:textId="77777777" w:rsidR="008B3241" w:rsidRPr="00AC416D" w:rsidRDefault="00AC416D">
      <w:pPr>
        <w:spacing w:after="2"/>
        <w:ind w:left="744"/>
        <w:rPr>
          <w:lang w:val="en-US"/>
        </w:rPr>
      </w:pPr>
      <w:r w:rsidRPr="00AC416D">
        <w:rPr>
          <w:lang w:val="en-US"/>
        </w:rPr>
        <w:t xml:space="preserve">This human rights policy describes the human rights standards that must be observed by Nedal and by all its subsidiaries, partnerships, companies or other business associations that are directly or indirectly controlled by Nedal. This includes all employees, directors and persons acting on behalf of Nedal. </w:t>
      </w:r>
    </w:p>
    <w:p w14:paraId="3327CEC3" w14:textId="77777777" w:rsidR="008B3241" w:rsidRPr="00AC416D" w:rsidRDefault="00AC416D">
      <w:pPr>
        <w:ind w:left="754"/>
        <w:rPr>
          <w:lang w:val="en-US"/>
        </w:rPr>
      </w:pPr>
      <w:r w:rsidRPr="00AC416D">
        <w:rPr>
          <w:lang w:val="en-US"/>
        </w:rPr>
        <w:t xml:space="preserve">All Nedal business partners are expected to comply with the Nedal Supplier Code of Conduct, which sets out the responsibility of business partners to respect all internationally recognized human rights. All Nedal employees are expected to comply with the Nedal Code of Conduct, which sets out the responsibility of employees and all other persons working in and with Nedal to respect all internationally recognized human rights.   </w:t>
      </w:r>
    </w:p>
    <w:p w14:paraId="1933EE4D" w14:textId="77777777" w:rsidR="008B3241" w:rsidRPr="00AC416D" w:rsidRDefault="00AC416D">
      <w:pPr>
        <w:ind w:left="744"/>
        <w:rPr>
          <w:lang w:val="en-US"/>
        </w:rPr>
      </w:pPr>
      <w:r w:rsidRPr="00AC416D">
        <w:rPr>
          <w:lang w:val="en-US"/>
        </w:rPr>
        <w:t xml:space="preserve">Nedal </w:t>
      </w:r>
      <w:proofErr w:type="spellStart"/>
      <w:r w:rsidRPr="00AC416D">
        <w:rPr>
          <w:lang w:val="en-US"/>
        </w:rPr>
        <w:t>practises</w:t>
      </w:r>
      <w:proofErr w:type="spellEnd"/>
      <w:r w:rsidRPr="00AC416D">
        <w:rPr>
          <w:lang w:val="en-US"/>
        </w:rPr>
        <w:t xml:space="preserve"> an active policy of giving equal opportunities to all, irrespective of gender, sexual orientation, religion, cultural background or other preferences.  </w:t>
      </w:r>
    </w:p>
    <w:p w14:paraId="7849C32E" w14:textId="77777777" w:rsidR="008B3241" w:rsidRPr="00AC416D" w:rsidRDefault="00AC416D">
      <w:pPr>
        <w:spacing w:after="229" w:line="259" w:lineRule="auto"/>
        <w:ind w:left="14" w:firstLine="0"/>
        <w:rPr>
          <w:lang w:val="en-US"/>
        </w:rPr>
      </w:pPr>
      <w:r w:rsidRPr="00AC416D">
        <w:rPr>
          <w:lang w:val="en-US"/>
        </w:rPr>
        <w:t xml:space="preserve">  </w:t>
      </w:r>
    </w:p>
    <w:p w14:paraId="40D1B94B" w14:textId="77777777" w:rsidR="008B3241" w:rsidRPr="00AC416D" w:rsidRDefault="00AC416D">
      <w:pPr>
        <w:ind w:left="24"/>
        <w:rPr>
          <w:lang w:val="en-US"/>
        </w:rPr>
      </w:pPr>
      <w:r w:rsidRPr="00AC416D">
        <w:rPr>
          <w:lang w:val="en-US"/>
        </w:rPr>
        <w:t xml:space="preserve">See Code of Conduct:  </w:t>
      </w:r>
    </w:p>
    <w:p w14:paraId="48BE3635" w14:textId="77777777" w:rsidR="008B3241" w:rsidRPr="00AC416D" w:rsidRDefault="00AC416D">
      <w:pPr>
        <w:ind w:left="24"/>
        <w:rPr>
          <w:lang w:val="en-US"/>
        </w:rPr>
      </w:pPr>
      <w:r w:rsidRPr="00AC416D">
        <w:rPr>
          <w:lang w:val="en-US"/>
        </w:rPr>
        <w:t xml:space="preserve">Currently, the Code of Conduct is a draft and is going through the final approval process of the </w:t>
      </w:r>
      <w:proofErr w:type="spellStart"/>
      <w:r w:rsidRPr="00AC416D">
        <w:rPr>
          <w:lang w:val="en-US"/>
        </w:rPr>
        <w:t>Purso</w:t>
      </w:r>
      <w:proofErr w:type="spellEnd"/>
      <w:r w:rsidRPr="00AC416D">
        <w:rPr>
          <w:lang w:val="en-US"/>
        </w:rPr>
        <w:t xml:space="preserve"> Board of Directors.  </w:t>
      </w:r>
    </w:p>
    <w:p w14:paraId="44325F6D" w14:textId="77777777" w:rsidR="008B3241" w:rsidRPr="00AC416D" w:rsidRDefault="00AC416D">
      <w:pPr>
        <w:spacing w:after="200" w:line="443" w:lineRule="auto"/>
        <w:ind w:left="9" w:right="1317"/>
        <w:rPr>
          <w:lang w:val="en-US"/>
        </w:rPr>
      </w:pPr>
      <w:r w:rsidRPr="00AC416D">
        <w:rPr>
          <w:lang w:val="en-US"/>
        </w:rPr>
        <w:t xml:space="preserve">More information: </w:t>
      </w:r>
      <w:hyperlink r:id="rId14">
        <w:r w:rsidRPr="00AC416D">
          <w:rPr>
            <w:color w:val="0463C1"/>
            <w:u w:val="single" w:color="0463C1"/>
            <w:lang w:val="en-US"/>
          </w:rPr>
          <w:t>https://www.nedal.com/nl/over</w:t>
        </w:r>
      </w:hyperlink>
      <w:hyperlink r:id="rId15">
        <w:r w:rsidRPr="00AC416D">
          <w:rPr>
            <w:color w:val="0463C1"/>
            <w:u w:val="single" w:color="0463C1"/>
            <w:lang w:val="en-US"/>
          </w:rPr>
          <w:t>ons/werken-bij-nedal/</w:t>
        </w:r>
      </w:hyperlink>
      <w:hyperlink r:id="rId16">
        <w:r w:rsidRPr="00AC416D">
          <w:rPr>
            <w:lang w:val="en-US"/>
          </w:rPr>
          <w:t xml:space="preserve"> </w:t>
        </w:r>
      </w:hyperlink>
      <w:r w:rsidRPr="00AC416D">
        <w:rPr>
          <w:lang w:val="en-US"/>
        </w:rPr>
        <w:t xml:space="preserve"> </w:t>
      </w:r>
    </w:p>
    <w:p w14:paraId="5B83C013" w14:textId="77777777" w:rsidR="008B3241" w:rsidRPr="00AC416D" w:rsidRDefault="00AC416D">
      <w:pPr>
        <w:spacing w:after="432" w:line="259" w:lineRule="auto"/>
        <w:ind w:left="14" w:firstLine="0"/>
        <w:rPr>
          <w:lang w:val="en-US"/>
        </w:rPr>
      </w:pPr>
      <w:r w:rsidRPr="00AC416D">
        <w:rPr>
          <w:lang w:val="en-US"/>
        </w:rPr>
        <w:t xml:space="preserve">Manager HRM:  </w:t>
      </w:r>
      <w:r w:rsidRPr="00AC416D">
        <w:rPr>
          <w:color w:val="2E5496"/>
          <w:u w:val="single" w:color="2E5496"/>
          <w:lang w:val="en-US"/>
        </w:rPr>
        <w:t>woutervandokkum@nedal.nl</w:t>
      </w:r>
      <w:r w:rsidRPr="00AC416D">
        <w:rPr>
          <w:color w:val="2E5496"/>
          <w:lang w:val="en-US"/>
        </w:rPr>
        <w:t xml:space="preserve"> </w:t>
      </w:r>
      <w:r w:rsidRPr="00AC416D">
        <w:rPr>
          <w:lang w:val="en-US"/>
        </w:rPr>
        <w:t xml:space="preserve"> </w:t>
      </w:r>
    </w:p>
    <w:p w14:paraId="686C6CD2" w14:textId="77777777" w:rsidR="008B3241" w:rsidRPr="00AC416D" w:rsidRDefault="00AC416D">
      <w:pPr>
        <w:pStyle w:val="Kop1"/>
        <w:ind w:left="-1" w:right="1952"/>
        <w:rPr>
          <w:lang w:val="en-US"/>
        </w:rPr>
      </w:pPr>
      <w:bookmarkStart w:id="17" w:name="_Toc11304"/>
      <w:r w:rsidRPr="00AC416D">
        <w:rPr>
          <w:u w:val="none"/>
          <w:lang w:val="en-US"/>
        </w:rPr>
        <w:t xml:space="preserve">18. </w:t>
      </w:r>
      <w:r w:rsidRPr="00AC416D">
        <w:rPr>
          <w:lang w:val="en-US"/>
        </w:rPr>
        <w:t>Indigenous Peoples</w:t>
      </w:r>
      <w:r w:rsidRPr="00AC416D">
        <w:rPr>
          <w:b w:val="0"/>
          <w:u w:val="none"/>
          <w:lang w:val="en-US"/>
        </w:rPr>
        <w:t xml:space="preserve"> </w:t>
      </w:r>
      <w:bookmarkEnd w:id="17"/>
    </w:p>
    <w:p w14:paraId="22979EEA" w14:textId="77777777" w:rsidR="008B3241" w:rsidRPr="00AC416D" w:rsidRDefault="00AC416D">
      <w:pPr>
        <w:ind w:left="10"/>
        <w:rPr>
          <w:lang w:val="en-US"/>
        </w:rPr>
      </w:pPr>
      <w:r w:rsidRPr="00AC416D">
        <w:rPr>
          <w:lang w:val="en-US"/>
        </w:rPr>
        <w:t xml:space="preserve">Since the activities of Nedal take place in Utrecht, the Netherlands, the issue of Indigenous people is not applicable.  </w:t>
      </w:r>
    </w:p>
    <w:p w14:paraId="2DB83CB1" w14:textId="77777777" w:rsidR="008B3241" w:rsidRPr="00AC416D" w:rsidRDefault="00AC416D">
      <w:pPr>
        <w:ind w:left="10"/>
        <w:rPr>
          <w:lang w:val="en-US"/>
        </w:rPr>
      </w:pPr>
      <w:r w:rsidRPr="00AC416D">
        <w:rPr>
          <w:lang w:val="en-US"/>
        </w:rPr>
        <w:t xml:space="preserve">Regarding our (sub)suppliers, the human rights of all employees including indigenous people are being addressed in the Nedal Supplier Code of Conduct.  </w:t>
      </w:r>
    </w:p>
    <w:p w14:paraId="0FFD294C" w14:textId="77777777" w:rsidR="008B3241" w:rsidRPr="00AC416D" w:rsidRDefault="00AC416D">
      <w:pPr>
        <w:spacing w:after="750"/>
        <w:ind w:left="10"/>
        <w:rPr>
          <w:lang w:val="en-US"/>
        </w:rPr>
      </w:pPr>
      <w:r w:rsidRPr="00AC416D">
        <w:rPr>
          <w:lang w:val="en-US"/>
        </w:rPr>
        <w:t>The higher-risk suppliers of Nedal (</w:t>
      </w:r>
      <w:proofErr w:type="spellStart"/>
      <w:r w:rsidRPr="00AC416D">
        <w:rPr>
          <w:lang w:val="en-US"/>
        </w:rPr>
        <w:t>aluminium</w:t>
      </w:r>
      <w:proofErr w:type="spellEnd"/>
      <w:r w:rsidRPr="00AC416D">
        <w:rPr>
          <w:lang w:val="en-US"/>
        </w:rPr>
        <w:t xml:space="preserve"> producers with their supply chain) are all </w:t>
      </w:r>
      <w:proofErr w:type="spellStart"/>
      <w:r w:rsidRPr="00AC416D">
        <w:rPr>
          <w:lang w:val="en-US"/>
        </w:rPr>
        <w:t>ASIcertified</w:t>
      </w:r>
      <w:proofErr w:type="spellEnd"/>
      <w:r w:rsidRPr="00AC416D">
        <w:rPr>
          <w:lang w:val="en-US"/>
        </w:rPr>
        <w:t xml:space="preserve">.  </w:t>
      </w:r>
    </w:p>
    <w:p w14:paraId="7E25F7A9" w14:textId="77777777" w:rsidR="008B3241" w:rsidRPr="00AC416D" w:rsidRDefault="00AC416D">
      <w:pPr>
        <w:pStyle w:val="Kop1"/>
        <w:ind w:left="-1" w:right="1952"/>
        <w:rPr>
          <w:lang w:val="en-US"/>
        </w:rPr>
      </w:pPr>
      <w:bookmarkStart w:id="18" w:name="_Toc11305"/>
      <w:r w:rsidRPr="00AC416D">
        <w:rPr>
          <w:u w:val="none"/>
          <w:lang w:val="en-US"/>
        </w:rPr>
        <w:lastRenderedPageBreak/>
        <w:t xml:space="preserve">19. </w:t>
      </w:r>
      <w:r w:rsidRPr="00AC416D">
        <w:rPr>
          <w:lang w:val="en-US"/>
        </w:rPr>
        <w:t xml:space="preserve">Affected Populations and </w:t>
      </w:r>
      <w:proofErr w:type="spellStart"/>
      <w:r w:rsidRPr="00AC416D">
        <w:rPr>
          <w:lang w:val="en-US"/>
        </w:rPr>
        <w:t>Organisations</w:t>
      </w:r>
      <w:proofErr w:type="spellEnd"/>
      <w:r w:rsidRPr="00AC416D">
        <w:rPr>
          <w:b w:val="0"/>
          <w:u w:val="none"/>
          <w:lang w:val="en-US"/>
        </w:rPr>
        <w:t xml:space="preserve"> </w:t>
      </w:r>
      <w:bookmarkEnd w:id="18"/>
    </w:p>
    <w:p w14:paraId="119B114C" w14:textId="77777777" w:rsidR="008B3241" w:rsidRPr="00AC416D" w:rsidRDefault="00AC416D">
      <w:pPr>
        <w:ind w:left="10"/>
        <w:rPr>
          <w:lang w:val="en-US"/>
        </w:rPr>
      </w:pPr>
      <w:r w:rsidRPr="00AC416D">
        <w:rPr>
          <w:lang w:val="en-US"/>
        </w:rPr>
        <w:t xml:space="preserve">Nedal sponsored the last years several sportive and other events:  </w:t>
      </w:r>
    </w:p>
    <w:p w14:paraId="04F350AD" w14:textId="77777777" w:rsidR="008B3241" w:rsidRPr="00AC416D" w:rsidRDefault="00AC416D">
      <w:pPr>
        <w:spacing w:after="224" w:line="259" w:lineRule="auto"/>
        <w:ind w:left="14" w:firstLine="0"/>
        <w:rPr>
          <w:lang w:val="en-US"/>
        </w:rPr>
      </w:pPr>
      <w:r w:rsidRPr="00AC416D">
        <w:rPr>
          <w:lang w:val="en-US"/>
        </w:rPr>
        <w:t xml:space="preserve">  </w:t>
      </w:r>
    </w:p>
    <w:p w14:paraId="056ABBF1" w14:textId="77777777" w:rsidR="008B3241" w:rsidRPr="00AC416D" w:rsidRDefault="00AC416D">
      <w:pPr>
        <w:numPr>
          <w:ilvl w:val="0"/>
          <w:numId w:val="6"/>
        </w:numPr>
        <w:ind w:hanging="360"/>
        <w:rPr>
          <w:lang w:val="en-US"/>
        </w:rPr>
      </w:pPr>
      <w:r w:rsidRPr="00AC416D">
        <w:rPr>
          <w:lang w:val="en-US"/>
        </w:rPr>
        <w:t xml:space="preserve">The Utrecht Marathon. This included hiring a trainer, whereby Nedal employees could follow running training during working hours.  </w:t>
      </w:r>
    </w:p>
    <w:p w14:paraId="6AB8BDC7" w14:textId="77777777" w:rsidR="008B3241" w:rsidRPr="00AC416D" w:rsidRDefault="00AC416D">
      <w:pPr>
        <w:numPr>
          <w:ilvl w:val="0"/>
          <w:numId w:val="6"/>
        </w:numPr>
        <w:ind w:hanging="360"/>
        <w:rPr>
          <w:lang w:val="en-US"/>
        </w:rPr>
      </w:pPr>
      <w:r w:rsidRPr="00AC416D">
        <w:rPr>
          <w:lang w:val="en-US"/>
        </w:rPr>
        <w:t xml:space="preserve">With the link to health, Nedal sponsored the </w:t>
      </w:r>
      <w:proofErr w:type="spellStart"/>
      <w:r w:rsidRPr="00AC416D">
        <w:rPr>
          <w:lang w:val="en-US"/>
        </w:rPr>
        <w:t>Roparun</w:t>
      </w:r>
      <w:proofErr w:type="spellEnd"/>
      <w:r w:rsidRPr="00AC416D">
        <w:rPr>
          <w:lang w:val="en-US"/>
        </w:rPr>
        <w:t xml:space="preserve">, which “runs” from Paris to Rotterdam and whose proceeds benefit the fight against Cancer.  </w:t>
      </w:r>
    </w:p>
    <w:p w14:paraId="4C556218" w14:textId="77777777" w:rsidR="008B3241" w:rsidRPr="00AC416D" w:rsidRDefault="00AC416D">
      <w:pPr>
        <w:numPr>
          <w:ilvl w:val="0"/>
          <w:numId w:val="6"/>
        </w:numPr>
        <w:ind w:hanging="360"/>
        <w:rPr>
          <w:lang w:val="en-US"/>
        </w:rPr>
      </w:pPr>
      <w:r w:rsidRPr="00AC416D">
        <w:rPr>
          <w:lang w:val="en-US"/>
        </w:rPr>
        <w:t xml:space="preserve">The </w:t>
      </w:r>
      <w:proofErr w:type="spellStart"/>
      <w:r w:rsidRPr="00AC416D">
        <w:rPr>
          <w:lang w:val="en-US"/>
        </w:rPr>
        <w:t>Ladiesrun</w:t>
      </w:r>
      <w:proofErr w:type="spellEnd"/>
      <w:r w:rsidRPr="00AC416D">
        <w:rPr>
          <w:lang w:val="en-US"/>
        </w:rPr>
        <w:t xml:space="preserve">: Nedal set up a care station along the course, where participants can pick up water and any care they need.  </w:t>
      </w:r>
    </w:p>
    <w:p w14:paraId="02A114A7" w14:textId="77777777" w:rsidR="008B3241" w:rsidRPr="00AC416D" w:rsidRDefault="00AC416D">
      <w:pPr>
        <w:numPr>
          <w:ilvl w:val="0"/>
          <w:numId w:val="6"/>
        </w:numPr>
        <w:ind w:hanging="360"/>
        <w:rPr>
          <w:lang w:val="en-US"/>
        </w:rPr>
      </w:pPr>
      <w:r w:rsidRPr="00AC416D">
        <w:rPr>
          <w:lang w:val="en-US"/>
        </w:rPr>
        <w:t xml:space="preserve">The Utrecht Nedal </w:t>
      </w:r>
      <w:proofErr w:type="spellStart"/>
      <w:r w:rsidRPr="00AC416D">
        <w:rPr>
          <w:lang w:val="en-US"/>
        </w:rPr>
        <w:t>Nightrun</w:t>
      </w:r>
      <w:proofErr w:type="spellEnd"/>
      <w:r w:rsidRPr="00AC416D">
        <w:rPr>
          <w:lang w:val="en-US"/>
        </w:rPr>
        <w:t xml:space="preserve">, for a fantastic local event with 4.000 participants.  </w:t>
      </w:r>
    </w:p>
    <w:p w14:paraId="78A20DA7" w14:textId="77777777" w:rsidR="008B3241" w:rsidRDefault="00AC416D">
      <w:pPr>
        <w:numPr>
          <w:ilvl w:val="0"/>
          <w:numId w:val="6"/>
        </w:numPr>
        <w:ind w:hanging="360"/>
      </w:pPr>
      <w:r w:rsidRPr="00AC416D">
        <w:rPr>
          <w:lang w:val="en-US"/>
        </w:rPr>
        <w:t xml:space="preserve">The Utrecht </w:t>
      </w:r>
      <w:proofErr w:type="spellStart"/>
      <w:r w:rsidRPr="00AC416D">
        <w:rPr>
          <w:lang w:val="en-US"/>
        </w:rPr>
        <w:t>Singelloop</w:t>
      </w:r>
      <w:proofErr w:type="spellEnd"/>
      <w:r w:rsidRPr="00AC416D">
        <w:rPr>
          <w:lang w:val="en-US"/>
        </w:rPr>
        <w:t xml:space="preserve"> (5 km) in 2022, most recently run on Sunday 1. </w:t>
      </w:r>
      <w:proofErr w:type="spellStart"/>
      <w:r>
        <w:t>October</w:t>
      </w:r>
      <w:proofErr w:type="spellEnd"/>
      <w:r>
        <w:t xml:space="preserve"> 2023.  </w:t>
      </w:r>
    </w:p>
    <w:p w14:paraId="7BF2A858" w14:textId="77777777" w:rsidR="008B3241" w:rsidRPr="00AC416D" w:rsidRDefault="00AC416D">
      <w:pPr>
        <w:numPr>
          <w:ilvl w:val="0"/>
          <w:numId w:val="6"/>
        </w:numPr>
        <w:ind w:hanging="360"/>
        <w:rPr>
          <w:lang w:val="en-US"/>
        </w:rPr>
      </w:pPr>
      <w:r w:rsidRPr="00AC416D">
        <w:rPr>
          <w:lang w:val="en-US"/>
        </w:rPr>
        <w:t xml:space="preserve">The First Aid and Blind Guide Dogs.  </w:t>
      </w:r>
    </w:p>
    <w:p w14:paraId="27311F4C" w14:textId="77777777" w:rsidR="008B3241" w:rsidRPr="00AC416D" w:rsidRDefault="00AC416D">
      <w:pPr>
        <w:ind w:left="10"/>
        <w:rPr>
          <w:lang w:val="en-US"/>
        </w:rPr>
      </w:pPr>
      <w:r w:rsidRPr="00AC416D">
        <w:rPr>
          <w:lang w:val="en-US"/>
        </w:rPr>
        <w:t xml:space="preserve">Contacts with the municipality of Utrecht on a regular base (mayor and aldermen, Lage  </w:t>
      </w:r>
    </w:p>
    <w:p w14:paraId="228A6CAB" w14:textId="77777777" w:rsidR="008B3241" w:rsidRPr="00AC416D" w:rsidRDefault="00AC416D">
      <w:pPr>
        <w:ind w:left="10"/>
        <w:rPr>
          <w:lang w:val="en-US"/>
        </w:rPr>
      </w:pPr>
      <w:r w:rsidRPr="00AC416D">
        <w:rPr>
          <w:lang w:val="en-US"/>
        </w:rPr>
        <w:t xml:space="preserve">Weide Industrial Estate, economy board participant) were strengthened by opening the Nedal Charging Square (EV-mobility) inaugurated by the aldermen in Augus 2023 and participation in the Open Energy Day in September 2023.  </w:t>
      </w:r>
    </w:p>
    <w:p w14:paraId="3377AF98" w14:textId="77777777" w:rsidR="008B3241" w:rsidRPr="00AC416D" w:rsidRDefault="00AC416D">
      <w:pPr>
        <w:spacing w:after="750"/>
        <w:ind w:left="24"/>
        <w:rPr>
          <w:lang w:val="en-US"/>
        </w:rPr>
      </w:pPr>
      <w:r w:rsidRPr="00AC416D">
        <w:rPr>
          <w:lang w:val="en-US"/>
        </w:rPr>
        <w:t xml:space="preserve">As a regular habit, Nedal was present at “De </w:t>
      </w:r>
      <w:proofErr w:type="spellStart"/>
      <w:r w:rsidRPr="00AC416D">
        <w:rPr>
          <w:lang w:val="en-US"/>
        </w:rPr>
        <w:t>Beurs</w:t>
      </w:r>
      <w:proofErr w:type="spellEnd"/>
      <w:r w:rsidRPr="00AC416D">
        <w:rPr>
          <w:lang w:val="en-US"/>
        </w:rPr>
        <w:t xml:space="preserve"> van de </w:t>
      </w:r>
      <w:proofErr w:type="spellStart"/>
      <w:r w:rsidRPr="00AC416D">
        <w:rPr>
          <w:lang w:val="en-US"/>
        </w:rPr>
        <w:t>Openbare</w:t>
      </w:r>
      <w:proofErr w:type="spellEnd"/>
      <w:r w:rsidRPr="00AC416D">
        <w:rPr>
          <w:lang w:val="en-US"/>
        </w:rPr>
        <w:t xml:space="preserve"> </w:t>
      </w:r>
      <w:proofErr w:type="spellStart"/>
      <w:r w:rsidRPr="00AC416D">
        <w:rPr>
          <w:lang w:val="en-US"/>
        </w:rPr>
        <w:t>Ruimte”in</w:t>
      </w:r>
      <w:proofErr w:type="spellEnd"/>
      <w:r w:rsidRPr="00AC416D">
        <w:rPr>
          <w:lang w:val="en-US"/>
        </w:rPr>
        <w:t xml:space="preserve"> the Utrecht Trade Fair.  </w:t>
      </w:r>
    </w:p>
    <w:p w14:paraId="11981B09" w14:textId="77777777" w:rsidR="008B3241" w:rsidRPr="00AC416D" w:rsidRDefault="00AC416D">
      <w:pPr>
        <w:pStyle w:val="Kop1"/>
        <w:spacing w:after="0" w:line="448" w:lineRule="auto"/>
        <w:ind w:left="-1" w:right="1952"/>
        <w:rPr>
          <w:lang w:val="en-US"/>
        </w:rPr>
      </w:pPr>
      <w:bookmarkStart w:id="19" w:name="_Toc11306"/>
      <w:r w:rsidRPr="00AC416D">
        <w:rPr>
          <w:u w:val="none"/>
          <w:lang w:val="en-US"/>
        </w:rPr>
        <w:t xml:space="preserve">20. </w:t>
      </w:r>
      <w:r w:rsidRPr="00AC416D">
        <w:rPr>
          <w:lang w:val="en-US"/>
        </w:rPr>
        <w:t>Occupational Health and Safety Management System</w:t>
      </w:r>
      <w:r w:rsidRPr="00AC416D">
        <w:rPr>
          <w:b w:val="0"/>
          <w:u w:val="none"/>
          <w:lang w:val="en-US"/>
        </w:rPr>
        <w:t xml:space="preserve"> </w:t>
      </w:r>
      <w:bookmarkEnd w:id="19"/>
    </w:p>
    <w:p w14:paraId="1351E052" w14:textId="77777777" w:rsidR="008B3241" w:rsidRDefault="00AC416D">
      <w:pPr>
        <w:spacing w:after="0" w:line="448" w:lineRule="auto"/>
        <w:ind w:left="-1" w:right="1952" w:firstLine="4"/>
      </w:pPr>
      <w:r>
        <w:rPr>
          <w:b/>
        </w:rPr>
        <w:t xml:space="preserve">Nedal is </w:t>
      </w:r>
      <w:proofErr w:type="spellStart"/>
      <w:r>
        <w:rPr>
          <w:b/>
        </w:rPr>
        <w:t>certified</w:t>
      </w:r>
      <w:proofErr w:type="spellEnd"/>
      <w:r>
        <w:rPr>
          <w:b/>
        </w:rPr>
        <w:t xml:space="preserve"> </w:t>
      </w:r>
      <w:proofErr w:type="spellStart"/>
      <w:r>
        <w:rPr>
          <w:b/>
        </w:rPr>
        <w:t>regarding</w:t>
      </w:r>
      <w:proofErr w:type="spellEnd"/>
      <w:r>
        <w:rPr>
          <w:b/>
        </w:rPr>
        <w:t xml:space="preserve">: </w:t>
      </w:r>
      <w:r>
        <w:t xml:space="preserve"> </w:t>
      </w:r>
    </w:p>
    <w:p w14:paraId="4717582B" w14:textId="77777777" w:rsidR="008B3241" w:rsidRDefault="00AC416D">
      <w:pPr>
        <w:numPr>
          <w:ilvl w:val="0"/>
          <w:numId w:val="7"/>
        </w:numPr>
        <w:ind w:hanging="360"/>
      </w:pPr>
      <w:r>
        <w:t xml:space="preserve">ISO 14001: Environment  </w:t>
      </w:r>
    </w:p>
    <w:p w14:paraId="659E542B" w14:textId="77777777" w:rsidR="008B3241" w:rsidRDefault="00AC416D">
      <w:pPr>
        <w:numPr>
          <w:ilvl w:val="0"/>
          <w:numId w:val="7"/>
        </w:numPr>
        <w:spacing w:after="741"/>
        <w:ind w:hanging="360"/>
      </w:pPr>
      <w:r>
        <w:t xml:space="preserve">ISO 45001: Health </w:t>
      </w:r>
      <w:proofErr w:type="spellStart"/>
      <w:r>
        <w:t>and</w:t>
      </w:r>
      <w:proofErr w:type="spellEnd"/>
      <w:r>
        <w:t xml:space="preserve"> Safety  </w:t>
      </w:r>
    </w:p>
    <w:p w14:paraId="060FDAB4" w14:textId="77777777" w:rsidR="008B3241" w:rsidRDefault="00AC416D">
      <w:pPr>
        <w:ind w:left="10"/>
      </w:pPr>
      <w:r>
        <w:t xml:space="preserve">These systems </w:t>
      </w:r>
      <w:proofErr w:type="spellStart"/>
      <w:r>
        <w:t>include</w:t>
      </w:r>
      <w:proofErr w:type="spellEnd"/>
      <w:r>
        <w:t xml:space="preserve">:  </w:t>
      </w:r>
    </w:p>
    <w:p w14:paraId="2945E024" w14:textId="77777777" w:rsidR="008B3241" w:rsidRDefault="00AC416D">
      <w:pPr>
        <w:numPr>
          <w:ilvl w:val="0"/>
          <w:numId w:val="7"/>
        </w:numPr>
        <w:ind w:hanging="360"/>
      </w:pPr>
      <w:proofErr w:type="spellStart"/>
      <w:r>
        <w:t>Organizational</w:t>
      </w:r>
      <w:proofErr w:type="spellEnd"/>
      <w:r>
        <w:t xml:space="preserve"> context  </w:t>
      </w:r>
    </w:p>
    <w:p w14:paraId="78B49A1E" w14:textId="77777777" w:rsidR="008B3241" w:rsidRDefault="00AC416D">
      <w:pPr>
        <w:numPr>
          <w:ilvl w:val="0"/>
          <w:numId w:val="7"/>
        </w:numPr>
        <w:ind w:hanging="360"/>
      </w:pPr>
      <w:proofErr w:type="spellStart"/>
      <w:r>
        <w:t>Leadership</w:t>
      </w:r>
      <w:proofErr w:type="spellEnd"/>
      <w:r>
        <w:t xml:space="preserve"> </w:t>
      </w:r>
      <w:proofErr w:type="spellStart"/>
      <w:r>
        <w:t>and</w:t>
      </w:r>
      <w:proofErr w:type="spellEnd"/>
      <w:r>
        <w:t xml:space="preserve"> </w:t>
      </w:r>
      <w:proofErr w:type="spellStart"/>
      <w:r>
        <w:t>worker</w:t>
      </w:r>
      <w:proofErr w:type="spellEnd"/>
      <w:r>
        <w:t xml:space="preserve"> </w:t>
      </w:r>
      <w:proofErr w:type="spellStart"/>
      <w:r>
        <w:t>participation</w:t>
      </w:r>
      <w:proofErr w:type="spellEnd"/>
      <w:r>
        <w:t xml:space="preserve">  </w:t>
      </w:r>
    </w:p>
    <w:p w14:paraId="43897752" w14:textId="77777777" w:rsidR="008B3241" w:rsidRDefault="00AC416D">
      <w:pPr>
        <w:numPr>
          <w:ilvl w:val="0"/>
          <w:numId w:val="7"/>
        </w:numPr>
        <w:ind w:hanging="360"/>
      </w:pPr>
      <w:r>
        <w:t xml:space="preserve">Planning  </w:t>
      </w:r>
    </w:p>
    <w:p w14:paraId="0BB35989" w14:textId="77777777" w:rsidR="008B3241" w:rsidRDefault="00AC416D">
      <w:pPr>
        <w:numPr>
          <w:ilvl w:val="0"/>
          <w:numId w:val="7"/>
        </w:numPr>
        <w:ind w:hanging="360"/>
      </w:pPr>
      <w:r>
        <w:lastRenderedPageBreak/>
        <w:t xml:space="preserve">Support  </w:t>
      </w:r>
    </w:p>
    <w:p w14:paraId="7A7EA0F3" w14:textId="77777777" w:rsidR="008B3241" w:rsidRDefault="00AC416D">
      <w:pPr>
        <w:numPr>
          <w:ilvl w:val="0"/>
          <w:numId w:val="7"/>
        </w:numPr>
        <w:ind w:hanging="360"/>
      </w:pPr>
      <w:proofErr w:type="spellStart"/>
      <w:r>
        <w:t>Operation</w:t>
      </w:r>
      <w:proofErr w:type="spellEnd"/>
      <w:r>
        <w:t xml:space="preserve">  </w:t>
      </w:r>
    </w:p>
    <w:p w14:paraId="66F195B8" w14:textId="77777777" w:rsidR="008B3241" w:rsidRDefault="00AC416D">
      <w:pPr>
        <w:numPr>
          <w:ilvl w:val="0"/>
          <w:numId w:val="7"/>
        </w:numPr>
        <w:ind w:hanging="360"/>
      </w:pPr>
      <w:r>
        <w:t xml:space="preserve">Performance </w:t>
      </w:r>
      <w:proofErr w:type="spellStart"/>
      <w:r>
        <w:t>evaluation</w:t>
      </w:r>
      <w:proofErr w:type="spellEnd"/>
      <w:r>
        <w:t xml:space="preserve">  </w:t>
      </w:r>
    </w:p>
    <w:p w14:paraId="5D098F08" w14:textId="77777777" w:rsidR="008B3241" w:rsidRDefault="00AC416D">
      <w:pPr>
        <w:numPr>
          <w:ilvl w:val="0"/>
          <w:numId w:val="7"/>
        </w:numPr>
        <w:spacing w:after="755"/>
        <w:ind w:hanging="360"/>
      </w:pPr>
      <w:proofErr w:type="spellStart"/>
      <w:r>
        <w:t>Improvement</w:t>
      </w:r>
      <w:proofErr w:type="spellEnd"/>
      <w:r>
        <w:t xml:space="preserve">  </w:t>
      </w:r>
    </w:p>
    <w:p w14:paraId="52C101EB" w14:textId="77777777" w:rsidR="008B3241" w:rsidRPr="00AC416D" w:rsidRDefault="00AC416D">
      <w:pPr>
        <w:spacing w:after="229" w:line="259" w:lineRule="auto"/>
        <w:ind w:left="-5"/>
        <w:rPr>
          <w:lang w:val="en-US"/>
        </w:rPr>
      </w:pPr>
      <w:r w:rsidRPr="00AC416D">
        <w:rPr>
          <w:u w:val="single" w:color="000000"/>
          <w:lang w:val="en-US"/>
        </w:rPr>
        <w:t>Benchmark with industry-sector (FME) for the year 2022:</w:t>
      </w:r>
      <w:r w:rsidRPr="00AC416D">
        <w:rPr>
          <w:lang w:val="en-US"/>
        </w:rPr>
        <w:t xml:space="preserve">  </w:t>
      </w:r>
    </w:p>
    <w:p w14:paraId="5173704F" w14:textId="77777777" w:rsidR="008B3241" w:rsidRPr="00AC416D" w:rsidRDefault="00AC416D">
      <w:pPr>
        <w:tabs>
          <w:tab w:val="center" w:pos="3540"/>
          <w:tab w:val="center" w:pos="4248"/>
          <w:tab w:val="center" w:pos="4956"/>
          <w:tab w:val="center" w:pos="5664"/>
          <w:tab w:val="center" w:pos="6372"/>
        </w:tabs>
        <w:ind w:left="0" w:firstLine="0"/>
        <w:rPr>
          <w:lang w:val="en-US"/>
        </w:rPr>
      </w:pPr>
      <w:r w:rsidRPr="00AC416D">
        <w:rPr>
          <w:lang w:val="en-US"/>
        </w:rPr>
        <w:t xml:space="preserve">% of employees with accident  </w:t>
      </w:r>
      <w:r w:rsidRPr="00AC416D">
        <w:rPr>
          <w:lang w:val="en-US"/>
        </w:rPr>
        <w:tab/>
        <w:t xml:space="preserve"> </w:t>
      </w:r>
      <w:r w:rsidRPr="00AC416D">
        <w:rPr>
          <w:lang w:val="en-US"/>
        </w:rPr>
        <w:tab/>
        <w:t xml:space="preserve"> </w:t>
      </w:r>
      <w:r w:rsidRPr="00AC416D">
        <w:rPr>
          <w:lang w:val="en-US"/>
        </w:rPr>
        <w:tab/>
        <w:t xml:space="preserve"> </w:t>
      </w:r>
      <w:r w:rsidRPr="00AC416D">
        <w:rPr>
          <w:lang w:val="en-US"/>
        </w:rPr>
        <w:tab/>
        <w:t xml:space="preserve"> </w:t>
      </w:r>
      <w:r w:rsidRPr="00AC416D">
        <w:rPr>
          <w:lang w:val="en-US"/>
        </w:rPr>
        <w:tab/>
        <w:t xml:space="preserve"> </w:t>
      </w:r>
    </w:p>
    <w:p w14:paraId="54A85BAB" w14:textId="77777777" w:rsidR="008B3241" w:rsidRPr="00AC416D" w:rsidRDefault="00AC416D">
      <w:pPr>
        <w:tabs>
          <w:tab w:val="center" w:pos="4956"/>
          <w:tab w:val="center" w:pos="6342"/>
        </w:tabs>
        <w:spacing w:after="0"/>
        <w:ind w:left="0" w:firstLine="0"/>
        <w:rPr>
          <w:lang w:val="en-US"/>
        </w:rPr>
      </w:pPr>
      <w:r w:rsidRPr="00AC416D">
        <w:rPr>
          <w:lang w:val="en-US"/>
        </w:rPr>
        <w:t xml:space="preserve">and therefore more than 1 day sick leave:  </w:t>
      </w:r>
      <w:r w:rsidRPr="00AC416D">
        <w:rPr>
          <w:lang w:val="en-US"/>
        </w:rPr>
        <w:tab/>
        <w:t xml:space="preserve"> </w:t>
      </w:r>
      <w:r w:rsidRPr="00AC416D">
        <w:rPr>
          <w:lang w:val="en-US"/>
        </w:rPr>
        <w:tab/>
        <w:t xml:space="preserve">% sick leave:   </w:t>
      </w:r>
    </w:p>
    <w:tbl>
      <w:tblPr>
        <w:tblStyle w:val="TableGrid"/>
        <w:tblW w:w="8808" w:type="dxa"/>
        <w:tblInd w:w="24" w:type="dxa"/>
        <w:tblCellMar>
          <w:top w:w="92" w:type="dxa"/>
          <w:left w:w="157" w:type="dxa"/>
          <w:bottom w:w="0" w:type="dxa"/>
          <w:right w:w="103" w:type="dxa"/>
        </w:tblCellMar>
        <w:tblLook w:val="04A0" w:firstRow="1" w:lastRow="0" w:firstColumn="1" w:lastColumn="0" w:noHBand="0" w:noVBand="1"/>
      </w:tblPr>
      <w:tblGrid>
        <w:gridCol w:w="1957"/>
        <w:gridCol w:w="1452"/>
        <w:gridCol w:w="1857"/>
        <w:gridCol w:w="2037"/>
        <w:gridCol w:w="1505"/>
      </w:tblGrid>
      <w:tr w:rsidR="008B3241" w14:paraId="1E21CBAF" w14:textId="77777777">
        <w:trPr>
          <w:trHeight w:val="573"/>
        </w:trPr>
        <w:tc>
          <w:tcPr>
            <w:tcW w:w="1957" w:type="dxa"/>
            <w:tcBorders>
              <w:top w:val="single" w:sz="4" w:space="0" w:color="7F7F7F"/>
              <w:left w:val="single" w:sz="4" w:space="0" w:color="7F7F7F"/>
              <w:bottom w:val="single" w:sz="4" w:space="0" w:color="7F7F7F"/>
              <w:right w:val="single" w:sz="4" w:space="0" w:color="7F7F7F"/>
            </w:tcBorders>
            <w:vAlign w:val="center"/>
          </w:tcPr>
          <w:p w14:paraId="59D18836" w14:textId="77777777" w:rsidR="008B3241" w:rsidRDefault="00AC416D">
            <w:pPr>
              <w:spacing w:after="0" w:line="259" w:lineRule="auto"/>
              <w:ind w:left="0" w:firstLine="0"/>
            </w:pPr>
            <w:proofErr w:type="spellStart"/>
            <w:r>
              <w:t>Average</w:t>
            </w:r>
            <w:proofErr w:type="spellEnd"/>
            <w:r>
              <w:t xml:space="preserve"> </w:t>
            </w:r>
            <w:proofErr w:type="spellStart"/>
            <w:r>
              <w:t>Industry</w:t>
            </w:r>
            <w:proofErr w:type="spellEnd"/>
            <w:r>
              <w:t xml:space="preserve"> </w:t>
            </w:r>
          </w:p>
        </w:tc>
        <w:tc>
          <w:tcPr>
            <w:tcW w:w="1452" w:type="dxa"/>
            <w:tcBorders>
              <w:top w:val="single" w:sz="4" w:space="0" w:color="7F7F7F"/>
              <w:left w:val="single" w:sz="4" w:space="0" w:color="7F7F7F"/>
              <w:bottom w:val="single" w:sz="4" w:space="0" w:color="7F7F7F"/>
              <w:right w:val="single" w:sz="4" w:space="0" w:color="7F7F7F"/>
            </w:tcBorders>
            <w:vAlign w:val="center"/>
          </w:tcPr>
          <w:p w14:paraId="56635855" w14:textId="77777777" w:rsidR="008B3241" w:rsidRDefault="00AC416D">
            <w:pPr>
              <w:spacing w:after="0" w:line="259" w:lineRule="auto"/>
              <w:ind w:left="0" w:right="54" w:firstLine="0"/>
              <w:jc w:val="center"/>
            </w:pPr>
            <w:r>
              <w:t xml:space="preserve">Nedal </w:t>
            </w:r>
          </w:p>
        </w:tc>
        <w:tc>
          <w:tcPr>
            <w:tcW w:w="1857" w:type="dxa"/>
            <w:vMerge w:val="restart"/>
            <w:tcBorders>
              <w:top w:val="nil"/>
              <w:left w:val="single" w:sz="4" w:space="0" w:color="7F7F7F"/>
              <w:bottom w:val="nil"/>
              <w:right w:val="single" w:sz="4" w:space="0" w:color="7F7F7F"/>
            </w:tcBorders>
          </w:tcPr>
          <w:p w14:paraId="3C40911E" w14:textId="77777777" w:rsidR="008B3241" w:rsidRDefault="008B3241">
            <w:pPr>
              <w:spacing w:after="160" w:line="259" w:lineRule="auto"/>
              <w:ind w:left="0" w:firstLine="0"/>
            </w:pPr>
          </w:p>
        </w:tc>
        <w:tc>
          <w:tcPr>
            <w:tcW w:w="2037" w:type="dxa"/>
            <w:tcBorders>
              <w:top w:val="single" w:sz="4" w:space="0" w:color="7F7F7F"/>
              <w:left w:val="single" w:sz="4" w:space="0" w:color="7F7F7F"/>
              <w:bottom w:val="single" w:sz="4" w:space="0" w:color="7F7F7F"/>
              <w:right w:val="single" w:sz="4" w:space="0" w:color="7F7F7F"/>
            </w:tcBorders>
            <w:vAlign w:val="center"/>
          </w:tcPr>
          <w:p w14:paraId="140BF661" w14:textId="77777777" w:rsidR="008B3241" w:rsidRDefault="00AC416D">
            <w:pPr>
              <w:spacing w:after="0" w:line="259" w:lineRule="auto"/>
              <w:ind w:left="43" w:firstLine="0"/>
            </w:pPr>
            <w:proofErr w:type="spellStart"/>
            <w:r>
              <w:t>Average</w:t>
            </w:r>
            <w:proofErr w:type="spellEnd"/>
            <w:r>
              <w:t xml:space="preserve"> </w:t>
            </w:r>
            <w:proofErr w:type="spellStart"/>
            <w:r>
              <w:t>industry</w:t>
            </w:r>
            <w:proofErr w:type="spellEnd"/>
            <w:r>
              <w:t xml:space="preserve"> </w:t>
            </w:r>
          </w:p>
        </w:tc>
        <w:tc>
          <w:tcPr>
            <w:tcW w:w="1505" w:type="dxa"/>
            <w:tcBorders>
              <w:top w:val="single" w:sz="4" w:space="0" w:color="7F7F7F"/>
              <w:left w:val="single" w:sz="4" w:space="0" w:color="7F7F7F"/>
              <w:bottom w:val="single" w:sz="4" w:space="0" w:color="7F7F7F"/>
              <w:right w:val="single" w:sz="4" w:space="0" w:color="7F7F7F"/>
            </w:tcBorders>
            <w:vAlign w:val="center"/>
          </w:tcPr>
          <w:p w14:paraId="29F7AFD8" w14:textId="77777777" w:rsidR="008B3241" w:rsidRDefault="00AC416D">
            <w:pPr>
              <w:spacing w:after="0" w:line="259" w:lineRule="auto"/>
              <w:ind w:left="0" w:right="55" w:firstLine="0"/>
              <w:jc w:val="center"/>
            </w:pPr>
            <w:r>
              <w:t xml:space="preserve">Nedal </w:t>
            </w:r>
          </w:p>
        </w:tc>
      </w:tr>
      <w:tr w:rsidR="008B3241" w14:paraId="0DC2D3D0" w14:textId="77777777">
        <w:trPr>
          <w:trHeight w:val="432"/>
        </w:trPr>
        <w:tc>
          <w:tcPr>
            <w:tcW w:w="1957" w:type="dxa"/>
            <w:tcBorders>
              <w:top w:val="single" w:sz="4" w:space="0" w:color="7F7F7F"/>
              <w:left w:val="single" w:sz="4" w:space="0" w:color="7F7F7F"/>
              <w:bottom w:val="single" w:sz="4" w:space="0" w:color="7F7F7F"/>
              <w:right w:val="single" w:sz="4" w:space="0" w:color="7F7F7F"/>
            </w:tcBorders>
          </w:tcPr>
          <w:p w14:paraId="118FC6BA" w14:textId="77777777" w:rsidR="008B3241" w:rsidRDefault="00AC416D">
            <w:pPr>
              <w:spacing w:after="0" w:line="259" w:lineRule="auto"/>
              <w:ind w:left="0" w:right="132" w:firstLine="0"/>
              <w:jc w:val="center"/>
            </w:pPr>
            <w:r>
              <w:t xml:space="preserve">1,7 </w:t>
            </w:r>
          </w:p>
        </w:tc>
        <w:tc>
          <w:tcPr>
            <w:tcW w:w="1452" w:type="dxa"/>
            <w:tcBorders>
              <w:top w:val="single" w:sz="4" w:space="0" w:color="7F7F7F"/>
              <w:left w:val="single" w:sz="4" w:space="0" w:color="7F7F7F"/>
              <w:bottom w:val="single" w:sz="4" w:space="0" w:color="7F7F7F"/>
              <w:right w:val="single" w:sz="4" w:space="0" w:color="7F7F7F"/>
            </w:tcBorders>
          </w:tcPr>
          <w:p w14:paraId="53C7925B" w14:textId="77777777" w:rsidR="008B3241" w:rsidRDefault="00AC416D">
            <w:pPr>
              <w:spacing w:after="0" w:line="259" w:lineRule="auto"/>
              <w:ind w:left="0" w:right="133" w:firstLine="0"/>
              <w:jc w:val="center"/>
            </w:pPr>
            <w:r>
              <w:t xml:space="preserve">1,2 </w:t>
            </w:r>
          </w:p>
        </w:tc>
        <w:tc>
          <w:tcPr>
            <w:tcW w:w="0" w:type="auto"/>
            <w:vMerge/>
            <w:tcBorders>
              <w:top w:val="nil"/>
              <w:left w:val="single" w:sz="4" w:space="0" w:color="7F7F7F"/>
              <w:bottom w:val="nil"/>
              <w:right w:val="single" w:sz="4" w:space="0" w:color="7F7F7F"/>
            </w:tcBorders>
          </w:tcPr>
          <w:p w14:paraId="2A467D29" w14:textId="77777777" w:rsidR="008B3241" w:rsidRDefault="008B3241">
            <w:pPr>
              <w:spacing w:after="160" w:line="259" w:lineRule="auto"/>
              <w:ind w:left="0" w:firstLine="0"/>
            </w:pPr>
          </w:p>
        </w:tc>
        <w:tc>
          <w:tcPr>
            <w:tcW w:w="2037" w:type="dxa"/>
            <w:tcBorders>
              <w:top w:val="single" w:sz="4" w:space="0" w:color="7F7F7F"/>
              <w:left w:val="single" w:sz="4" w:space="0" w:color="7F7F7F"/>
              <w:bottom w:val="single" w:sz="4" w:space="0" w:color="7F7F7F"/>
              <w:right w:val="single" w:sz="4" w:space="0" w:color="7F7F7F"/>
            </w:tcBorders>
          </w:tcPr>
          <w:p w14:paraId="6D3C4809" w14:textId="77777777" w:rsidR="008B3241" w:rsidRDefault="00AC416D">
            <w:pPr>
              <w:spacing w:after="0" w:line="259" w:lineRule="auto"/>
              <w:ind w:left="0" w:right="53" w:firstLine="0"/>
              <w:jc w:val="center"/>
            </w:pPr>
            <w:r>
              <w:t xml:space="preserve">9,7 </w:t>
            </w:r>
          </w:p>
        </w:tc>
        <w:tc>
          <w:tcPr>
            <w:tcW w:w="1505" w:type="dxa"/>
            <w:tcBorders>
              <w:top w:val="single" w:sz="4" w:space="0" w:color="7F7F7F"/>
              <w:left w:val="single" w:sz="4" w:space="0" w:color="7F7F7F"/>
              <w:bottom w:val="single" w:sz="4" w:space="0" w:color="7F7F7F"/>
              <w:right w:val="single" w:sz="4" w:space="0" w:color="7F7F7F"/>
            </w:tcBorders>
          </w:tcPr>
          <w:p w14:paraId="3CA47FAD" w14:textId="77777777" w:rsidR="008B3241" w:rsidRDefault="00AC416D">
            <w:pPr>
              <w:spacing w:after="0" w:line="259" w:lineRule="auto"/>
              <w:ind w:left="0" w:right="56" w:firstLine="0"/>
              <w:jc w:val="center"/>
            </w:pPr>
            <w:r>
              <w:t xml:space="preserve">5,9 </w:t>
            </w:r>
          </w:p>
        </w:tc>
      </w:tr>
    </w:tbl>
    <w:p w14:paraId="06447C60" w14:textId="77777777" w:rsidR="008B3241" w:rsidRDefault="00AC416D">
      <w:pPr>
        <w:spacing w:after="0" w:line="259" w:lineRule="auto"/>
        <w:ind w:left="14" w:firstLine="0"/>
      </w:pPr>
      <w:r>
        <w:t xml:space="preserve"> </w:t>
      </w:r>
    </w:p>
    <w:p w14:paraId="0C642FFE" w14:textId="77777777" w:rsidR="008B3241" w:rsidRDefault="00AC416D">
      <w:pPr>
        <w:pStyle w:val="Kop1"/>
        <w:ind w:left="-1" w:right="1952"/>
      </w:pPr>
      <w:bookmarkStart w:id="20" w:name="_Toc11307"/>
      <w:r>
        <w:rPr>
          <w:u w:val="none"/>
        </w:rPr>
        <w:t xml:space="preserve">21. </w:t>
      </w:r>
      <w:proofErr w:type="spellStart"/>
      <w:r>
        <w:t>Forced</w:t>
      </w:r>
      <w:proofErr w:type="spellEnd"/>
      <w:r>
        <w:t xml:space="preserve"> Labour (Modern </w:t>
      </w:r>
      <w:proofErr w:type="spellStart"/>
      <w:r>
        <w:t>Slavery</w:t>
      </w:r>
      <w:proofErr w:type="spellEnd"/>
      <w:r>
        <w:t>)</w:t>
      </w:r>
      <w:r>
        <w:rPr>
          <w:u w:val="none"/>
        </w:rPr>
        <w:t xml:space="preserve">  </w:t>
      </w:r>
      <w:bookmarkEnd w:id="20"/>
    </w:p>
    <w:p w14:paraId="7A91D0D4" w14:textId="77777777" w:rsidR="008B3241" w:rsidRPr="00AC416D" w:rsidRDefault="00AC416D">
      <w:pPr>
        <w:ind w:left="24"/>
        <w:rPr>
          <w:lang w:val="en-US"/>
        </w:rPr>
      </w:pPr>
      <w:r w:rsidRPr="00AC416D">
        <w:rPr>
          <w:lang w:val="en-US"/>
        </w:rPr>
        <w:t xml:space="preserve">Indicators of Modern Slavery according to ILO:  </w:t>
      </w:r>
    </w:p>
    <w:p w14:paraId="47053FA3" w14:textId="77777777" w:rsidR="008B3241" w:rsidRDefault="00AC416D">
      <w:pPr>
        <w:numPr>
          <w:ilvl w:val="0"/>
          <w:numId w:val="8"/>
        </w:numPr>
        <w:ind w:hanging="360"/>
      </w:pPr>
      <w:proofErr w:type="spellStart"/>
      <w:r>
        <w:t>Abuse</w:t>
      </w:r>
      <w:proofErr w:type="spellEnd"/>
      <w:r>
        <w:t xml:space="preserve"> of </w:t>
      </w:r>
      <w:proofErr w:type="spellStart"/>
      <w:r>
        <w:t>vulnerability</w:t>
      </w:r>
      <w:proofErr w:type="spellEnd"/>
      <w:r>
        <w:t xml:space="preserve">  </w:t>
      </w:r>
    </w:p>
    <w:p w14:paraId="2F673C56" w14:textId="77777777" w:rsidR="008B3241" w:rsidRDefault="00AC416D">
      <w:pPr>
        <w:numPr>
          <w:ilvl w:val="0"/>
          <w:numId w:val="8"/>
        </w:numPr>
        <w:ind w:hanging="360"/>
      </w:pPr>
      <w:proofErr w:type="spellStart"/>
      <w:r>
        <w:t>Deception</w:t>
      </w:r>
      <w:proofErr w:type="spellEnd"/>
      <w:r>
        <w:t xml:space="preserve">  </w:t>
      </w:r>
    </w:p>
    <w:p w14:paraId="26828D34" w14:textId="77777777" w:rsidR="008B3241" w:rsidRDefault="00AC416D">
      <w:pPr>
        <w:numPr>
          <w:ilvl w:val="0"/>
          <w:numId w:val="8"/>
        </w:numPr>
        <w:ind w:hanging="360"/>
      </w:pPr>
      <w:proofErr w:type="spellStart"/>
      <w:r>
        <w:t>Restriction</w:t>
      </w:r>
      <w:proofErr w:type="spellEnd"/>
      <w:r>
        <w:t xml:space="preserve"> of </w:t>
      </w:r>
      <w:proofErr w:type="spellStart"/>
      <w:r>
        <w:t>movement</w:t>
      </w:r>
      <w:proofErr w:type="spellEnd"/>
      <w:r>
        <w:t xml:space="preserve">  </w:t>
      </w:r>
    </w:p>
    <w:p w14:paraId="796FD52F" w14:textId="77777777" w:rsidR="008B3241" w:rsidRDefault="00AC416D">
      <w:pPr>
        <w:numPr>
          <w:ilvl w:val="0"/>
          <w:numId w:val="8"/>
        </w:numPr>
        <w:ind w:hanging="360"/>
      </w:pPr>
      <w:proofErr w:type="spellStart"/>
      <w:r>
        <w:t>Isolation</w:t>
      </w:r>
      <w:proofErr w:type="spellEnd"/>
      <w:r>
        <w:t xml:space="preserve">  </w:t>
      </w:r>
    </w:p>
    <w:p w14:paraId="52526F59" w14:textId="77777777" w:rsidR="008B3241" w:rsidRDefault="00AC416D">
      <w:pPr>
        <w:numPr>
          <w:ilvl w:val="0"/>
          <w:numId w:val="8"/>
        </w:numPr>
        <w:ind w:hanging="360"/>
      </w:pPr>
      <w:proofErr w:type="spellStart"/>
      <w:r>
        <w:t>Physical</w:t>
      </w:r>
      <w:proofErr w:type="spellEnd"/>
      <w:r>
        <w:t xml:space="preserve"> </w:t>
      </w:r>
      <w:proofErr w:type="spellStart"/>
      <w:r>
        <w:t>and</w:t>
      </w:r>
      <w:proofErr w:type="spellEnd"/>
      <w:r>
        <w:t xml:space="preserve"> </w:t>
      </w:r>
      <w:proofErr w:type="spellStart"/>
      <w:r>
        <w:t>sexual</w:t>
      </w:r>
      <w:proofErr w:type="spellEnd"/>
      <w:r>
        <w:t xml:space="preserve"> </w:t>
      </w:r>
      <w:proofErr w:type="spellStart"/>
      <w:r>
        <w:t>violence</w:t>
      </w:r>
      <w:proofErr w:type="spellEnd"/>
      <w:r>
        <w:t xml:space="preserve">  </w:t>
      </w:r>
    </w:p>
    <w:p w14:paraId="3F868C2A" w14:textId="77777777" w:rsidR="008B3241" w:rsidRDefault="00AC416D">
      <w:pPr>
        <w:numPr>
          <w:ilvl w:val="0"/>
          <w:numId w:val="8"/>
        </w:numPr>
        <w:ind w:hanging="360"/>
      </w:pPr>
      <w:proofErr w:type="spellStart"/>
      <w:r>
        <w:t>Intimidation</w:t>
      </w:r>
      <w:proofErr w:type="spellEnd"/>
      <w:r>
        <w:t xml:space="preserve"> </w:t>
      </w:r>
      <w:proofErr w:type="spellStart"/>
      <w:r>
        <w:t>and</w:t>
      </w:r>
      <w:proofErr w:type="spellEnd"/>
      <w:r>
        <w:t xml:space="preserve"> </w:t>
      </w:r>
      <w:proofErr w:type="spellStart"/>
      <w:r>
        <w:t>threats</w:t>
      </w:r>
      <w:proofErr w:type="spellEnd"/>
      <w:r>
        <w:t xml:space="preserve">  </w:t>
      </w:r>
    </w:p>
    <w:p w14:paraId="27BBF124" w14:textId="77777777" w:rsidR="008B3241" w:rsidRDefault="00AC416D">
      <w:pPr>
        <w:numPr>
          <w:ilvl w:val="0"/>
          <w:numId w:val="8"/>
        </w:numPr>
        <w:ind w:hanging="360"/>
      </w:pPr>
      <w:proofErr w:type="spellStart"/>
      <w:r>
        <w:t>Retention</w:t>
      </w:r>
      <w:proofErr w:type="spellEnd"/>
      <w:r>
        <w:t xml:space="preserve"> of </w:t>
      </w:r>
      <w:proofErr w:type="spellStart"/>
      <w:r>
        <w:t>identity</w:t>
      </w:r>
      <w:proofErr w:type="spellEnd"/>
      <w:r>
        <w:t xml:space="preserve"> </w:t>
      </w:r>
      <w:proofErr w:type="spellStart"/>
      <w:r>
        <w:t>documents</w:t>
      </w:r>
      <w:proofErr w:type="spellEnd"/>
      <w:r>
        <w:t xml:space="preserve">  </w:t>
      </w:r>
    </w:p>
    <w:p w14:paraId="701EA94C" w14:textId="77777777" w:rsidR="008B3241" w:rsidRDefault="00AC416D">
      <w:pPr>
        <w:numPr>
          <w:ilvl w:val="0"/>
          <w:numId w:val="8"/>
        </w:numPr>
        <w:ind w:hanging="360"/>
      </w:pPr>
      <w:proofErr w:type="spellStart"/>
      <w:r>
        <w:t>Withholding</w:t>
      </w:r>
      <w:proofErr w:type="spellEnd"/>
      <w:r>
        <w:t xml:space="preserve"> of </w:t>
      </w:r>
      <w:proofErr w:type="spellStart"/>
      <w:r>
        <w:t>wages</w:t>
      </w:r>
      <w:proofErr w:type="spellEnd"/>
      <w:r>
        <w:t xml:space="preserve">  </w:t>
      </w:r>
    </w:p>
    <w:p w14:paraId="6351C3CA" w14:textId="77777777" w:rsidR="008B3241" w:rsidRDefault="00AC416D">
      <w:pPr>
        <w:numPr>
          <w:ilvl w:val="0"/>
          <w:numId w:val="8"/>
        </w:numPr>
        <w:ind w:hanging="360"/>
      </w:pPr>
      <w:proofErr w:type="spellStart"/>
      <w:r>
        <w:t>Debt</w:t>
      </w:r>
      <w:proofErr w:type="spellEnd"/>
      <w:r>
        <w:t xml:space="preserve"> bondage  </w:t>
      </w:r>
    </w:p>
    <w:p w14:paraId="52D10DE6" w14:textId="77777777" w:rsidR="008B3241" w:rsidRDefault="00AC416D">
      <w:pPr>
        <w:numPr>
          <w:ilvl w:val="0"/>
          <w:numId w:val="8"/>
        </w:numPr>
        <w:ind w:hanging="360"/>
      </w:pPr>
      <w:proofErr w:type="spellStart"/>
      <w:r>
        <w:t>Abusive</w:t>
      </w:r>
      <w:proofErr w:type="spellEnd"/>
      <w:r>
        <w:t xml:space="preserve"> </w:t>
      </w:r>
      <w:proofErr w:type="spellStart"/>
      <w:r>
        <w:t>working</w:t>
      </w:r>
      <w:proofErr w:type="spellEnd"/>
      <w:r>
        <w:t xml:space="preserve"> </w:t>
      </w:r>
      <w:proofErr w:type="spellStart"/>
      <w:r>
        <w:t>and</w:t>
      </w:r>
      <w:proofErr w:type="spellEnd"/>
      <w:r>
        <w:t xml:space="preserve"> living </w:t>
      </w:r>
      <w:proofErr w:type="spellStart"/>
      <w:r>
        <w:t>conditions</w:t>
      </w:r>
      <w:proofErr w:type="spellEnd"/>
      <w:r>
        <w:t xml:space="preserve">  </w:t>
      </w:r>
    </w:p>
    <w:p w14:paraId="390F1183" w14:textId="77777777" w:rsidR="008B3241" w:rsidRDefault="00AC416D">
      <w:pPr>
        <w:numPr>
          <w:ilvl w:val="0"/>
          <w:numId w:val="8"/>
        </w:numPr>
        <w:ind w:hanging="360"/>
      </w:pPr>
      <w:proofErr w:type="spellStart"/>
      <w:r>
        <w:t>Excessive</w:t>
      </w:r>
      <w:proofErr w:type="spellEnd"/>
      <w:r>
        <w:t xml:space="preserve"> </w:t>
      </w:r>
      <w:proofErr w:type="spellStart"/>
      <w:r>
        <w:t>overtime</w:t>
      </w:r>
      <w:proofErr w:type="spellEnd"/>
      <w:r>
        <w:t xml:space="preserve">  </w:t>
      </w:r>
    </w:p>
    <w:p w14:paraId="121FAA15" w14:textId="77777777" w:rsidR="008B3241" w:rsidRDefault="00AC416D">
      <w:pPr>
        <w:spacing w:after="229" w:line="259" w:lineRule="auto"/>
        <w:ind w:left="14" w:firstLine="0"/>
      </w:pPr>
      <w:r>
        <w:t xml:space="preserve">  </w:t>
      </w:r>
    </w:p>
    <w:p w14:paraId="63CC92C9" w14:textId="77777777" w:rsidR="008B3241" w:rsidRPr="00AC416D" w:rsidRDefault="00AC416D">
      <w:pPr>
        <w:ind w:left="24"/>
        <w:rPr>
          <w:lang w:val="en-US"/>
        </w:rPr>
      </w:pPr>
      <w:r w:rsidRPr="00AC416D">
        <w:rPr>
          <w:lang w:val="en-US"/>
        </w:rPr>
        <w:t xml:space="preserve">Actions taken by Nedal to prevent Modern Slavery:  </w:t>
      </w:r>
    </w:p>
    <w:p w14:paraId="3A281AD6" w14:textId="77777777" w:rsidR="008B3241" w:rsidRPr="00AC416D" w:rsidRDefault="00AC416D">
      <w:pPr>
        <w:numPr>
          <w:ilvl w:val="0"/>
          <w:numId w:val="8"/>
        </w:numPr>
        <w:ind w:hanging="360"/>
        <w:rPr>
          <w:lang w:val="en-US"/>
        </w:rPr>
      </w:pPr>
      <w:r w:rsidRPr="00AC416D">
        <w:rPr>
          <w:lang w:val="en-US"/>
        </w:rPr>
        <w:lastRenderedPageBreak/>
        <w:t xml:space="preserve">The HRM-department  applies the legislation and the collective bargaining agreement (CAO) to prevent modern slavery.   </w:t>
      </w:r>
    </w:p>
    <w:p w14:paraId="2F9A5A36" w14:textId="77777777" w:rsidR="008B3241" w:rsidRPr="00AC416D" w:rsidRDefault="00AC416D">
      <w:pPr>
        <w:numPr>
          <w:ilvl w:val="0"/>
          <w:numId w:val="8"/>
        </w:numPr>
        <w:ind w:hanging="360"/>
        <w:rPr>
          <w:lang w:val="en-US"/>
        </w:rPr>
      </w:pPr>
      <w:r w:rsidRPr="00AC416D">
        <w:rPr>
          <w:lang w:val="en-US"/>
        </w:rPr>
        <w:t xml:space="preserve">By one-point lessons the employees are being informed about their rights.   </w:t>
      </w:r>
    </w:p>
    <w:p w14:paraId="4F83949F" w14:textId="77777777" w:rsidR="008B3241" w:rsidRPr="00AC416D" w:rsidRDefault="00AC416D">
      <w:pPr>
        <w:numPr>
          <w:ilvl w:val="0"/>
          <w:numId w:val="8"/>
        </w:numPr>
        <w:ind w:hanging="360"/>
        <w:rPr>
          <w:lang w:val="en-US"/>
        </w:rPr>
      </w:pPr>
      <w:r w:rsidRPr="00AC416D">
        <w:rPr>
          <w:lang w:val="en-US"/>
        </w:rPr>
        <w:t xml:space="preserve">Assessment of the employment agency (temporary workers).  </w:t>
      </w:r>
    </w:p>
    <w:p w14:paraId="05E96AC9" w14:textId="77777777" w:rsidR="008B3241" w:rsidRPr="00AC416D" w:rsidRDefault="00AC416D">
      <w:pPr>
        <w:numPr>
          <w:ilvl w:val="0"/>
          <w:numId w:val="8"/>
        </w:numPr>
        <w:ind w:hanging="360"/>
        <w:rPr>
          <w:lang w:val="en-US"/>
        </w:rPr>
      </w:pPr>
      <w:r w:rsidRPr="00AC416D">
        <w:rPr>
          <w:lang w:val="en-US"/>
        </w:rPr>
        <w:t xml:space="preserve">No business connections with companies in countries with high modern slavery risks (according to Walkfree.org).   </w:t>
      </w:r>
    </w:p>
    <w:p w14:paraId="66B25E62" w14:textId="77777777" w:rsidR="008B3241" w:rsidRPr="00AC416D" w:rsidRDefault="00AC416D">
      <w:pPr>
        <w:numPr>
          <w:ilvl w:val="0"/>
          <w:numId w:val="8"/>
        </w:numPr>
        <w:ind w:hanging="360"/>
        <w:rPr>
          <w:lang w:val="en-US"/>
        </w:rPr>
      </w:pPr>
      <w:r w:rsidRPr="00AC416D">
        <w:rPr>
          <w:lang w:val="en-US"/>
        </w:rPr>
        <w:t xml:space="preserve">Priority: Confirmation by suppliers of the Nedal Code of Conduct Suppliers for higher risk sectors.   </w:t>
      </w:r>
    </w:p>
    <w:p w14:paraId="63DBCCBC" w14:textId="77777777" w:rsidR="008B3241" w:rsidRPr="00AC416D" w:rsidRDefault="00AC416D">
      <w:pPr>
        <w:numPr>
          <w:ilvl w:val="0"/>
          <w:numId w:val="8"/>
        </w:numPr>
        <w:ind w:hanging="360"/>
        <w:rPr>
          <w:lang w:val="en-US"/>
        </w:rPr>
      </w:pPr>
      <w:r w:rsidRPr="00AC416D">
        <w:rPr>
          <w:lang w:val="en-US"/>
        </w:rPr>
        <w:t xml:space="preserve">Investigation on Internet for higher risk sector by random sampling.  </w:t>
      </w:r>
    </w:p>
    <w:p w14:paraId="024A4129" w14:textId="77777777" w:rsidR="008B3241" w:rsidRPr="00AC416D" w:rsidRDefault="00AC416D">
      <w:pPr>
        <w:spacing w:after="0" w:line="259" w:lineRule="auto"/>
        <w:ind w:left="14" w:firstLine="0"/>
        <w:rPr>
          <w:lang w:val="en-US"/>
        </w:rPr>
      </w:pPr>
      <w:r w:rsidRPr="00AC416D">
        <w:rPr>
          <w:lang w:val="en-US"/>
        </w:rPr>
        <w:t xml:space="preserve"> </w:t>
      </w:r>
    </w:p>
    <w:sectPr w:rsidR="008B3241" w:rsidRPr="00AC416D">
      <w:footerReference w:type="even" r:id="rId17"/>
      <w:footerReference w:type="default" r:id="rId18"/>
      <w:footerReference w:type="first" r:id="rId19"/>
      <w:pgSz w:w="11900" w:h="16840"/>
      <w:pgMar w:top="1443" w:right="1439" w:bottom="1558" w:left="1402" w:header="708" w:footer="1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A1C9" w14:textId="77777777" w:rsidR="00AC416D" w:rsidRDefault="00AC416D">
      <w:pPr>
        <w:spacing w:after="0" w:line="240" w:lineRule="auto"/>
      </w:pPr>
      <w:r>
        <w:separator/>
      </w:r>
    </w:p>
  </w:endnote>
  <w:endnote w:type="continuationSeparator" w:id="0">
    <w:p w14:paraId="3BD1412B" w14:textId="77777777" w:rsidR="00AC416D" w:rsidRDefault="00AC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3354" w14:textId="77777777" w:rsidR="008B3241" w:rsidRDefault="00AC416D">
    <w:pPr>
      <w:tabs>
        <w:tab w:val="center" w:pos="5423"/>
        <w:tab w:val="right" w:pos="10167"/>
      </w:tabs>
      <w:spacing w:after="0" w:line="259" w:lineRule="auto"/>
      <w:ind w:left="-1090" w:right="-1116" w:firstLine="0"/>
    </w:pPr>
    <w:r>
      <w:rPr>
        <w:noProof/>
      </w:rPr>
      <w:drawing>
        <wp:anchor distT="0" distB="0" distL="114300" distR="114300" simplePos="0" relativeHeight="251658240" behindDoc="0" locked="0" layoutInCell="1" allowOverlap="0" wp14:anchorId="1C288019" wp14:editId="58C6FBFF">
          <wp:simplePos x="0" y="0"/>
          <wp:positionH relativeFrom="page">
            <wp:posOffset>197987</wp:posOffset>
          </wp:positionH>
          <wp:positionV relativeFrom="page">
            <wp:posOffset>9975682</wp:posOffset>
          </wp:positionV>
          <wp:extent cx="1675216" cy="591898"/>
          <wp:effectExtent l="0" t="0" r="0" b="0"/>
          <wp:wrapSquare wrapText="bothSides"/>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
                  <a:stretch>
                    <a:fillRect/>
                  </a:stretch>
                </pic:blipFill>
                <pic:spPr>
                  <a:xfrm>
                    <a:off x="0" y="0"/>
                    <a:ext cx="1675216" cy="591898"/>
                  </a:xfrm>
                  <a:prstGeom prst="rect">
                    <a:avLst/>
                  </a:prstGeom>
                </pic:spPr>
              </pic:pic>
            </a:graphicData>
          </a:graphic>
        </wp:anchor>
      </w:drawing>
    </w:r>
    <w:r>
      <w:rPr>
        <w:noProof/>
      </w:rPr>
      <w:drawing>
        <wp:anchor distT="0" distB="0" distL="114300" distR="114300" simplePos="0" relativeHeight="251659264" behindDoc="0" locked="0" layoutInCell="1" allowOverlap="0" wp14:anchorId="64BE5953" wp14:editId="7575B05F">
          <wp:simplePos x="0" y="0"/>
          <wp:positionH relativeFrom="page">
            <wp:posOffset>3171739</wp:posOffset>
          </wp:positionH>
          <wp:positionV relativeFrom="page">
            <wp:posOffset>10035622</wp:posOffset>
          </wp:positionV>
          <wp:extent cx="1162223" cy="472018"/>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2"/>
                  <a:stretch>
                    <a:fillRect/>
                  </a:stretch>
                </pic:blipFill>
                <pic:spPr>
                  <a:xfrm>
                    <a:off x="0" y="0"/>
                    <a:ext cx="1162223" cy="472018"/>
                  </a:xfrm>
                  <a:prstGeom prst="rect">
                    <a:avLst/>
                  </a:prstGeom>
                </pic:spPr>
              </pic:pic>
            </a:graphicData>
          </a:graphic>
        </wp:anchor>
      </w:drawing>
    </w:r>
    <w:r>
      <w:rPr>
        <w:sz w:val="22"/>
      </w:rPr>
      <w:tab/>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5728" w14:textId="77777777" w:rsidR="008B3241" w:rsidRDefault="00AC416D">
    <w:pPr>
      <w:spacing w:after="0" w:line="259" w:lineRule="auto"/>
      <w:ind w:left="0" w:right="-1116" w:firstLine="0"/>
      <w:jc w:val="right"/>
    </w:pP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EFA" w14:textId="77777777" w:rsidR="008B3241" w:rsidRDefault="008B324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DA5D" w14:textId="77777777" w:rsidR="008B3241" w:rsidRDefault="00AC416D">
    <w:pPr>
      <w:tabs>
        <w:tab w:val="center" w:pos="5423"/>
        <w:tab w:val="right" w:pos="10167"/>
      </w:tabs>
      <w:spacing w:after="0" w:line="259" w:lineRule="auto"/>
      <w:ind w:left="-1090" w:right="-1109" w:firstLine="0"/>
    </w:pPr>
    <w:r>
      <w:rPr>
        <w:noProof/>
      </w:rPr>
      <w:drawing>
        <wp:anchor distT="0" distB="0" distL="114300" distR="114300" simplePos="0" relativeHeight="251660288" behindDoc="0" locked="0" layoutInCell="1" allowOverlap="0" wp14:anchorId="3EFC29F1" wp14:editId="6AE1DF16">
          <wp:simplePos x="0" y="0"/>
          <wp:positionH relativeFrom="page">
            <wp:posOffset>197987</wp:posOffset>
          </wp:positionH>
          <wp:positionV relativeFrom="page">
            <wp:posOffset>9975682</wp:posOffset>
          </wp:positionV>
          <wp:extent cx="1675216" cy="591898"/>
          <wp:effectExtent l="0" t="0" r="0" b="0"/>
          <wp:wrapSquare wrapText="bothSides"/>
          <wp:docPr id="340663158"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
                  <a:stretch>
                    <a:fillRect/>
                  </a:stretch>
                </pic:blipFill>
                <pic:spPr>
                  <a:xfrm>
                    <a:off x="0" y="0"/>
                    <a:ext cx="1675216" cy="591898"/>
                  </a:xfrm>
                  <a:prstGeom prst="rect">
                    <a:avLst/>
                  </a:prstGeom>
                </pic:spPr>
              </pic:pic>
            </a:graphicData>
          </a:graphic>
        </wp:anchor>
      </w:drawing>
    </w:r>
    <w:r>
      <w:rPr>
        <w:noProof/>
      </w:rPr>
      <w:drawing>
        <wp:anchor distT="0" distB="0" distL="114300" distR="114300" simplePos="0" relativeHeight="251661312" behindDoc="0" locked="0" layoutInCell="1" allowOverlap="0" wp14:anchorId="76383557" wp14:editId="65634F9A">
          <wp:simplePos x="0" y="0"/>
          <wp:positionH relativeFrom="page">
            <wp:posOffset>3171739</wp:posOffset>
          </wp:positionH>
          <wp:positionV relativeFrom="page">
            <wp:posOffset>10035622</wp:posOffset>
          </wp:positionV>
          <wp:extent cx="1162223" cy="472018"/>
          <wp:effectExtent l="0" t="0" r="0" b="0"/>
          <wp:wrapSquare wrapText="bothSides"/>
          <wp:docPr id="1740547831"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2"/>
                  <a:stretch>
                    <a:fillRect/>
                  </a:stretch>
                </pic:blipFill>
                <pic:spPr>
                  <a:xfrm>
                    <a:off x="0" y="0"/>
                    <a:ext cx="1162223" cy="472018"/>
                  </a:xfrm>
                  <a:prstGeom prst="rect">
                    <a:avLst/>
                  </a:prstGeom>
                </pic:spPr>
              </pic:pic>
            </a:graphicData>
          </a:graphic>
        </wp:anchor>
      </w:drawing>
    </w:r>
    <w:r>
      <w:rPr>
        <w:sz w:val="22"/>
      </w:rPr>
      <w:tab/>
    </w:r>
    <w:r>
      <w:tab/>
    </w: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BBA1" w14:textId="77777777" w:rsidR="008B3241" w:rsidRDefault="00AC416D">
    <w:pPr>
      <w:tabs>
        <w:tab w:val="center" w:pos="5423"/>
        <w:tab w:val="right" w:pos="10167"/>
      </w:tabs>
      <w:spacing w:after="0" w:line="259" w:lineRule="auto"/>
      <w:ind w:left="-1090" w:right="-1109" w:firstLine="0"/>
    </w:pPr>
    <w:r>
      <w:rPr>
        <w:noProof/>
      </w:rPr>
      <w:drawing>
        <wp:anchor distT="0" distB="0" distL="114300" distR="114300" simplePos="0" relativeHeight="251662336" behindDoc="0" locked="0" layoutInCell="1" allowOverlap="0" wp14:anchorId="2DF1B0AC" wp14:editId="2C137547">
          <wp:simplePos x="0" y="0"/>
          <wp:positionH relativeFrom="page">
            <wp:posOffset>197987</wp:posOffset>
          </wp:positionH>
          <wp:positionV relativeFrom="page">
            <wp:posOffset>9975682</wp:posOffset>
          </wp:positionV>
          <wp:extent cx="1675216" cy="591898"/>
          <wp:effectExtent l="0" t="0" r="0" b="0"/>
          <wp:wrapSquare wrapText="bothSides"/>
          <wp:docPr id="1568179714"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
                  <a:stretch>
                    <a:fillRect/>
                  </a:stretch>
                </pic:blipFill>
                <pic:spPr>
                  <a:xfrm>
                    <a:off x="0" y="0"/>
                    <a:ext cx="1675216" cy="591898"/>
                  </a:xfrm>
                  <a:prstGeom prst="rect">
                    <a:avLst/>
                  </a:prstGeom>
                </pic:spPr>
              </pic:pic>
            </a:graphicData>
          </a:graphic>
        </wp:anchor>
      </w:drawing>
    </w:r>
    <w:r>
      <w:rPr>
        <w:noProof/>
      </w:rPr>
      <w:drawing>
        <wp:anchor distT="0" distB="0" distL="114300" distR="114300" simplePos="0" relativeHeight="251663360" behindDoc="0" locked="0" layoutInCell="1" allowOverlap="0" wp14:anchorId="0186E084" wp14:editId="2E5FD284">
          <wp:simplePos x="0" y="0"/>
          <wp:positionH relativeFrom="page">
            <wp:posOffset>3171739</wp:posOffset>
          </wp:positionH>
          <wp:positionV relativeFrom="page">
            <wp:posOffset>10035622</wp:posOffset>
          </wp:positionV>
          <wp:extent cx="1162223" cy="472018"/>
          <wp:effectExtent l="0" t="0" r="0" b="0"/>
          <wp:wrapSquare wrapText="bothSides"/>
          <wp:docPr id="1598409251"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2"/>
                  <a:stretch>
                    <a:fillRect/>
                  </a:stretch>
                </pic:blipFill>
                <pic:spPr>
                  <a:xfrm>
                    <a:off x="0" y="0"/>
                    <a:ext cx="1162223" cy="472018"/>
                  </a:xfrm>
                  <a:prstGeom prst="rect">
                    <a:avLst/>
                  </a:prstGeom>
                </pic:spPr>
              </pic:pic>
            </a:graphicData>
          </a:graphic>
        </wp:anchor>
      </w:drawing>
    </w:r>
    <w:r>
      <w:rPr>
        <w:sz w:val="22"/>
      </w:rPr>
      <w:tab/>
    </w:r>
    <w:r>
      <w:tab/>
    </w: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A698" w14:textId="77777777" w:rsidR="008B3241" w:rsidRDefault="00AC416D">
    <w:pPr>
      <w:tabs>
        <w:tab w:val="center" w:pos="5423"/>
        <w:tab w:val="right" w:pos="10167"/>
      </w:tabs>
      <w:spacing w:after="0" w:line="259" w:lineRule="auto"/>
      <w:ind w:left="-1090" w:right="-1109" w:firstLine="0"/>
    </w:pPr>
    <w:r>
      <w:rPr>
        <w:noProof/>
      </w:rPr>
      <w:drawing>
        <wp:anchor distT="0" distB="0" distL="114300" distR="114300" simplePos="0" relativeHeight="251664384" behindDoc="0" locked="0" layoutInCell="1" allowOverlap="0" wp14:anchorId="2D1BCC06" wp14:editId="1E6EDEC2">
          <wp:simplePos x="0" y="0"/>
          <wp:positionH relativeFrom="page">
            <wp:posOffset>197987</wp:posOffset>
          </wp:positionH>
          <wp:positionV relativeFrom="page">
            <wp:posOffset>9975682</wp:posOffset>
          </wp:positionV>
          <wp:extent cx="1675216" cy="591898"/>
          <wp:effectExtent l="0" t="0" r="0" b="0"/>
          <wp:wrapSquare wrapText="bothSides"/>
          <wp:docPr id="707552965"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
                  <a:stretch>
                    <a:fillRect/>
                  </a:stretch>
                </pic:blipFill>
                <pic:spPr>
                  <a:xfrm>
                    <a:off x="0" y="0"/>
                    <a:ext cx="1675216" cy="591898"/>
                  </a:xfrm>
                  <a:prstGeom prst="rect">
                    <a:avLst/>
                  </a:prstGeom>
                </pic:spPr>
              </pic:pic>
            </a:graphicData>
          </a:graphic>
        </wp:anchor>
      </w:drawing>
    </w:r>
    <w:r>
      <w:rPr>
        <w:noProof/>
      </w:rPr>
      <w:drawing>
        <wp:anchor distT="0" distB="0" distL="114300" distR="114300" simplePos="0" relativeHeight="251665408" behindDoc="0" locked="0" layoutInCell="1" allowOverlap="0" wp14:anchorId="1E6468C5" wp14:editId="0D1416D0">
          <wp:simplePos x="0" y="0"/>
          <wp:positionH relativeFrom="page">
            <wp:posOffset>3171739</wp:posOffset>
          </wp:positionH>
          <wp:positionV relativeFrom="page">
            <wp:posOffset>10035622</wp:posOffset>
          </wp:positionV>
          <wp:extent cx="1162223" cy="472018"/>
          <wp:effectExtent l="0" t="0" r="0" b="0"/>
          <wp:wrapSquare wrapText="bothSides"/>
          <wp:docPr id="1205366135"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2"/>
                  <a:stretch>
                    <a:fillRect/>
                  </a:stretch>
                </pic:blipFill>
                <pic:spPr>
                  <a:xfrm>
                    <a:off x="0" y="0"/>
                    <a:ext cx="1162223" cy="472018"/>
                  </a:xfrm>
                  <a:prstGeom prst="rect">
                    <a:avLst/>
                  </a:prstGeom>
                </pic:spPr>
              </pic:pic>
            </a:graphicData>
          </a:graphic>
        </wp:anchor>
      </w:drawing>
    </w:r>
    <w:r>
      <w:rPr>
        <w:sz w:val="22"/>
      </w:rPr>
      <w:tab/>
    </w:r>
    <w:r>
      <w:tab/>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D420" w14:textId="77777777" w:rsidR="00AC416D" w:rsidRDefault="00AC416D">
      <w:pPr>
        <w:spacing w:after="0" w:line="240" w:lineRule="auto"/>
      </w:pPr>
      <w:r>
        <w:separator/>
      </w:r>
    </w:p>
  </w:footnote>
  <w:footnote w:type="continuationSeparator" w:id="0">
    <w:p w14:paraId="063B23D1" w14:textId="77777777" w:rsidR="00AC416D" w:rsidRDefault="00AC4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BF2"/>
    <w:multiLevelType w:val="hybridMultilevel"/>
    <w:tmpl w:val="E6D62D52"/>
    <w:lvl w:ilvl="0" w:tplc="10CCAC34">
      <w:start w:val="1"/>
      <w:numFmt w:val="bullet"/>
      <w:lvlText w:val="-"/>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26B5B4">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16B100">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B4D644">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4647D4">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44E58C">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5B48">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24DFDA">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781BFA">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F3F78"/>
    <w:multiLevelType w:val="hybridMultilevel"/>
    <w:tmpl w:val="60983B58"/>
    <w:lvl w:ilvl="0" w:tplc="293EB1A0">
      <w:start w:val="1"/>
      <w:numFmt w:val="bullet"/>
      <w:lvlText w:val="-"/>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08F6FE">
      <w:start w:val="1"/>
      <w:numFmt w:val="bullet"/>
      <w:lvlText w:val="o"/>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6AFAA4">
      <w:start w:val="1"/>
      <w:numFmt w:val="bullet"/>
      <w:lvlText w:val="▪"/>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F03BF4">
      <w:start w:val="1"/>
      <w:numFmt w:val="bullet"/>
      <w:lvlText w:val="•"/>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6E6CE4">
      <w:start w:val="1"/>
      <w:numFmt w:val="bullet"/>
      <w:lvlText w:val="o"/>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3643C2">
      <w:start w:val="1"/>
      <w:numFmt w:val="bullet"/>
      <w:lvlText w:val="▪"/>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980F4A">
      <w:start w:val="1"/>
      <w:numFmt w:val="bullet"/>
      <w:lvlText w:val="•"/>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EC2AB2">
      <w:start w:val="1"/>
      <w:numFmt w:val="bullet"/>
      <w:lvlText w:val="o"/>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0A023C">
      <w:start w:val="1"/>
      <w:numFmt w:val="bullet"/>
      <w:lvlText w:val="▪"/>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363B72"/>
    <w:multiLevelType w:val="hybridMultilevel"/>
    <w:tmpl w:val="7D26B55C"/>
    <w:lvl w:ilvl="0" w:tplc="0F44E2E8">
      <w:start w:val="1"/>
      <w:numFmt w:val="bullet"/>
      <w:lvlText w:val="-"/>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0A2AF2">
      <w:start w:val="1"/>
      <w:numFmt w:val="bullet"/>
      <w:lvlText w:val="o"/>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D0940E">
      <w:start w:val="1"/>
      <w:numFmt w:val="bullet"/>
      <w:lvlText w:val="▪"/>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FE676C">
      <w:start w:val="1"/>
      <w:numFmt w:val="bullet"/>
      <w:lvlText w:val="•"/>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4C72D4">
      <w:start w:val="1"/>
      <w:numFmt w:val="bullet"/>
      <w:lvlText w:val="o"/>
      <w:lvlJc w:val="left"/>
      <w:pPr>
        <w:ind w:left="3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E8C144">
      <w:start w:val="1"/>
      <w:numFmt w:val="bullet"/>
      <w:lvlText w:val="▪"/>
      <w:lvlJc w:val="left"/>
      <w:pPr>
        <w:ind w:left="4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8829D8">
      <w:start w:val="1"/>
      <w:numFmt w:val="bullet"/>
      <w:lvlText w:val="•"/>
      <w:lvlJc w:val="left"/>
      <w:pPr>
        <w:ind w:left="5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F649A2">
      <w:start w:val="1"/>
      <w:numFmt w:val="bullet"/>
      <w:lvlText w:val="o"/>
      <w:lvlJc w:val="left"/>
      <w:pPr>
        <w:ind w:left="5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CAB9A">
      <w:start w:val="1"/>
      <w:numFmt w:val="bullet"/>
      <w:lvlText w:val="▪"/>
      <w:lvlJc w:val="left"/>
      <w:pPr>
        <w:ind w:left="6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980E17"/>
    <w:multiLevelType w:val="hybridMultilevel"/>
    <w:tmpl w:val="600AFA7E"/>
    <w:lvl w:ilvl="0" w:tplc="486A6CAE">
      <w:start w:val="1"/>
      <w:numFmt w:val="bullet"/>
      <w:lvlText w:val="-"/>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721B2C">
      <w:start w:val="1"/>
      <w:numFmt w:val="bullet"/>
      <w:lvlText w:val="o"/>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C40D96">
      <w:start w:val="1"/>
      <w:numFmt w:val="bullet"/>
      <w:lvlText w:val="▪"/>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9C1ABC">
      <w:start w:val="1"/>
      <w:numFmt w:val="bullet"/>
      <w:lvlText w:val="•"/>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5E96C4">
      <w:start w:val="1"/>
      <w:numFmt w:val="bullet"/>
      <w:lvlText w:val="o"/>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26A774">
      <w:start w:val="1"/>
      <w:numFmt w:val="bullet"/>
      <w:lvlText w:val="▪"/>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C2AE1A">
      <w:start w:val="1"/>
      <w:numFmt w:val="bullet"/>
      <w:lvlText w:val="•"/>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C8D214">
      <w:start w:val="1"/>
      <w:numFmt w:val="bullet"/>
      <w:lvlText w:val="o"/>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8810B6">
      <w:start w:val="1"/>
      <w:numFmt w:val="bullet"/>
      <w:lvlText w:val="▪"/>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2937DF"/>
    <w:multiLevelType w:val="hybridMultilevel"/>
    <w:tmpl w:val="3B9AE250"/>
    <w:lvl w:ilvl="0" w:tplc="9CB6876E">
      <w:start w:val="1"/>
      <w:numFmt w:val="bullet"/>
      <w:lvlText w:val="-"/>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EC246A">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6C9A7C">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E06A70">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403F4C">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B693DA">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EE55CA">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B4E7A8">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FC7ECC">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512E03"/>
    <w:multiLevelType w:val="hybridMultilevel"/>
    <w:tmpl w:val="B3C65694"/>
    <w:lvl w:ilvl="0" w:tplc="0442D0AC">
      <w:start w:val="1"/>
      <w:numFmt w:val="bullet"/>
      <w:lvlText w:val="-"/>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427CCE">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0E4CA4">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6C2CBE">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B0905A">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3EA834">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FA989E">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05548">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E31AA">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C51FFD"/>
    <w:multiLevelType w:val="hybridMultilevel"/>
    <w:tmpl w:val="A3464D92"/>
    <w:lvl w:ilvl="0" w:tplc="6DB093FA">
      <w:start w:val="1"/>
      <w:numFmt w:val="bullet"/>
      <w:lvlText w:val="-"/>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16F92A">
      <w:start w:val="1"/>
      <w:numFmt w:val="bullet"/>
      <w:lvlText w:val="o"/>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0E30F8">
      <w:start w:val="1"/>
      <w:numFmt w:val="bullet"/>
      <w:lvlText w:val="▪"/>
      <w:lvlJc w:val="left"/>
      <w:pPr>
        <w:ind w:left="2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927762">
      <w:start w:val="1"/>
      <w:numFmt w:val="bullet"/>
      <w:lvlText w:val="•"/>
      <w:lvlJc w:val="left"/>
      <w:pPr>
        <w:ind w:left="28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3227FA">
      <w:start w:val="1"/>
      <w:numFmt w:val="bullet"/>
      <w:lvlText w:val="o"/>
      <w:lvlJc w:val="left"/>
      <w:pPr>
        <w:ind w:left="3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AA8B62">
      <w:start w:val="1"/>
      <w:numFmt w:val="bullet"/>
      <w:lvlText w:val="▪"/>
      <w:lvlJc w:val="left"/>
      <w:pPr>
        <w:ind w:left="4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E85C56">
      <w:start w:val="1"/>
      <w:numFmt w:val="bullet"/>
      <w:lvlText w:val="•"/>
      <w:lvlJc w:val="left"/>
      <w:pPr>
        <w:ind w:left="5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A26E8">
      <w:start w:val="1"/>
      <w:numFmt w:val="bullet"/>
      <w:lvlText w:val="o"/>
      <w:lvlJc w:val="left"/>
      <w:pPr>
        <w:ind w:left="5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78FFB2">
      <w:start w:val="1"/>
      <w:numFmt w:val="bullet"/>
      <w:lvlText w:val="▪"/>
      <w:lvlJc w:val="left"/>
      <w:pPr>
        <w:ind w:left="6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5963D3"/>
    <w:multiLevelType w:val="hybridMultilevel"/>
    <w:tmpl w:val="C360C3F6"/>
    <w:lvl w:ilvl="0" w:tplc="5CF22FE4">
      <w:start w:val="1"/>
      <w:numFmt w:val="bullet"/>
      <w:lvlText w:val="-"/>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CE7FE4">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640D3E">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5A6AEA">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A8722">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8662AC">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6FD88">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22D2D8">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C2E08">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68353667">
    <w:abstractNumId w:val="2"/>
  </w:num>
  <w:num w:numId="2" w16cid:durableId="1509950580">
    <w:abstractNumId w:val="4"/>
  </w:num>
  <w:num w:numId="3" w16cid:durableId="2000183774">
    <w:abstractNumId w:val="5"/>
  </w:num>
  <w:num w:numId="4" w16cid:durableId="247616049">
    <w:abstractNumId w:val="7"/>
  </w:num>
  <w:num w:numId="5" w16cid:durableId="1712073108">
    <w:abstractNumId w:val="0"/>
  </w:num>
  <w:num w:numId="6" w16cid:durableId="1570189134">
    <w:abstractNumId w:val="3"/>
  </w:num>
  <w:num w:numId="7" w16cid:durableId="1816220640">
    <w:abstractNumId w:val="1"/>
  </w:num>
  <w:num w:numId="8" w16cid:durableId="1870757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41"/>
    <w:rsid w:val="008B3241"/>
    <w:rsid w:val="00AC4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A6C1"/>
  <w15:docId w15:val="{D5178779-02F0-4AA7-9602-A8A9BD04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5" w:line="271" w:lineRule="auto"/>
      <w:ind w:left="256"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217"/>
      <w:ind w:left="14" w:right="1812" w:firstLine="4"/>
      <w:outlineLvl w:val="0"/>
    </w:pPr>
    <w:rPr>
      <w:rFonts w:ascii="Calibri" w:eastAsia="Calibri" w:hAnsi="Calibri" w:cs="Calibri"/>
      <w:b/>
      <w:color w:val="000000"/>
      <w:sz w:val="24"/>
      <w:u w:val="single" w:color="000000"/>
    </w:rPr>
  </w:style>
  <w:style w:type="paragraph" w:styleId="Kop2">
    <w:name w:val="heading 2"/>
    <w:next w:val="Standaard"/>
    <w:link w:val="Kop2Char"/>
    <w:uiPriority w:val="9"/>
    <w:unhideWhenUsed/>
    <w:qFormat/>
    <w:pPr>
      <w:keepNext/>
      <w:keepLines/>
      <w:spacing w:after="217"/>
      <w:ind w:left="14" w:right="1812" w:firstLine="4"/>
      <w:outlineLvl w:val="1"/>
    </w:pPr>
    <w:rPr>
      <w:rFonts w:ascii="Calibri" w:eastAsia="Calibri" w:hAnsi="Calibri" w:cs="Calibri"/>
      <w:b/>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4"/>
      <w:u w:val="single" w:color="000000"/>
    </w:rPr>
  </w:style>
  <w:style w:type="character" w:customStyle="1" w:styleId="Kop1Char">
    <w:name w:val="Kop 1 Char"/>
    <w:link w:val="Kop1"/>
    <w:rPr>
      <w:rFonts w:ascii="Calibri" w:eastAsia="Calibri" w:hAnsi="Calibri" w:cs="Calibri"/>
      <w:b/>
      <w:color w:val="000000"/>
      <w:sz w:val="24"/>
      <w:u w:val="single" w:color="000000"/>
    </w:rPr>
  </w:style>
  <w:style w:type="paragraph" w:styleId="Inhopg1">
    <w:name w:val="toc 1"/>
    <w:hidden/>
    <w:pPr>
      <w:spacing w:after="124" w:line="271" w:lineRule="auto"/>
      <w:ind w:left="137" w:right="23" w:hanging="10"/>
    </w:pPr>
    <w:rPr>
      <w:rFonts w:ascii="Calibri" w:eastAsia="Calibri" w:hAnsi="Calibri" w:cs="Calibri"/>
      <w:color w:val="000000"/>
      <w:sz w:val="24"/>
    </w:rPr>
  </w:style>
  <w:style w:type="paragraph" w:styleId="Inhopg2">
    <w:name w:val="toc 2"/>
    <w:hidden/>
    <w:pPr>
      <w:spacing w:after="124" w:line="271" w:lineRule="auto"/>
      <w:ind w:left="271" w:right="23" w:hanging="10"/>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AC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nedal.com/nl/over-ons/werken-bij-ned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edal.com/nl/over-ons/werken-bij-nedal/" TargetMode="External"/><Relationship Id="rId10" Type="http://schemas.openxmlformats.org/officeDocument/2006/relationships/hyperlink" Target="https://www.climateneutralcertification.com/"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www.climateneutralcertification.com/" TargetMode="External"/><Relationship Id="rId14" Type="http://schemas.openxmlformats.org/officeDocument/2006/relationships/hyperlink" Target="https://www.nedal.com/nl/over-ons/werken-bij-ned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2148</Words>
  <Characters>11819</Characters>
  <Application>Microsoft Office Word</Application>
  <DocSecurity>4</DocSecurity>
  <Lines>98</Lines>
  <Paragraphs>27</Paragraphs>
  <ScaleCrop>false</ScaleCrop>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 Nedal Aluminium B.V.</dc:title>
  <dc:subject/>
  <dc:creator>Robert van der Meij</dc:creator>
  <cp:keywords/>
  <cp:lastModifiedBy>Robert van der Meij</cp:lastModifiedBy>
  <cp:revision>2</cp:revision>
  <dcterms:created xsi:type="dcterms:W3CDTF">2024-02-11T07:55:00Z</dcterms:created>
  <dcterms:modified xsi:type="dcterms:W3CDTF">2024-02-11T07:55:00Z</dcterms:modified>
</cp:coreProperties>
</file>